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CA6" w:rsidRDefault="00953CA6" w:rsidP="0009687A">
      <w:pPr>
        <w:tabs>
          <w:tab w:val="left" w:pos="-720"/>
        </w:tabs>
        <w:suppressAutoHyphens/>
        <w:ind w:left="180"/>
        <w:jc w:val="both"/>
        <w:rPr>
          <w:sz w:val="2"/>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7944DC" w:rsidRDefault="007944DC" w:rsidP="0009687A">
      <w:pPr>
        <w:pStyle w:val="Caption"/>
        <w:tabs>
          <w:tab w:val="left" w:pos="-720"/>
        </w:tabs>
        <w:suppressAutoHyphens/>
        <w:spacing w:line="1" w:lineRule="exact"/>
        <w:ind w:left="180"/>
        <w:jc w:val="center"/>
        <w:rPr>
          <w:rFonts w:ascii="Univers" w:hAnsi="Univers"/>
          <w:color w:val="000080"/>
          <w:sz w:val="34"/>
        </w:rPr>
      </w:pPr>
    </w:p>
    <w:p w:rsidR="00953CA6" w:rsidRPr="009D54DC" w:rsidRDefault="004700F1" w:rsidP="0009687A">
      <w:pPr>
        <w:pStyle w:val="Caption"/>
        <w:suppressAutoHyphens/>
        <w:spacing w:line="1" w:lineRule="exact"/>
        <w:ind w:left="180"/>
        <w:jc w:val="center"/>
        <w:rPr>
          <w:rFonts w:ascii="Arial" w:hAnsi="Arial" w:cs="Arial"/>
          <w:vanish/>
          <w:color w:val="000080"/>
          <w:sz w:val="32"/>
          <w:szCs w:val="32"/>
        </w:rPr>
      </w:pPr>
      <w:r>
        <w:rPr>
          <w:rFonts w:ascii="Arial" w:hAnsi="Arial" w:cs="Arial"/>
          <w:noProof/>
          <w:color w:val="000080"/>
          <w:sz w:val="32"/>
          <w:szCs w:val="32"/>
        </w:rPr>
        <w:drawing>
          <wp:anchor distT="0" distB="0" distL="114300" distR="114300" simplePos="0" relativeHeight="251658240" behindDoc="0" locked="0" layoutInCell="1" allowOverlap="1" wp14:anchorId="29AB9BF4" wp14:editId="378A9F1B">
            <wp:simplePos x="0" y="0"/>
            <wp:positionH relativeFrom="margin">
              <wp:align>left</wp:align>
            </wp:positionH>
            <wp:positionV relativeFrom="margin">
              <wp:align>top</wp:align>
            </wp:positionV>
            <wp:extent cx="1786255" cy="543560"/>
            <wp:effectExtent l="0" t="0" r="444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_Logo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6255" cy="543560"/>
                    </a:xfrm>
                    <a:prstGeom prst="rect">
                      <a:avLst/>
                    </a:prstGeom>
                  </pic:spPr>
                </pic:pic>
              </a:graphicData>
            </a:graphic>
            <wp14:sizeRelH relativeFrom="page">
              <wp14:pctWidth>0</wp14:pctWidth>
            </wp14:sizeRelH>
            <wp14:sizeRelV relativeFrom="page">
              <wp14:pctHeight>0</wp14:pctHeight>
            </wp14:sizeRelV>
          </wp:anchor>
        </w:drawing>
      </w:r>
      <w:r w:rsidR="00D4715E" w:rsidRPr="009D54DC">
        <w:rPr>
          <w:rFonts w:ascii="Arial" w:hAnsi="Arial" w:cs="Arial"/>
          <w:vanish/>
          <w:color w:val="000080"/>
          <w:sz w:val="32"/>
          <w:szCs w:val="32"/>
        </w:rPr>
        <w:fldChar w:fldCharType="begin"/>
      </w:r>
      <w:r w:rsidR="00953CA6" w:rsidRPr="009D54DC">
        <w:rPr>
          <w:rFonts w:ascii="Arial" w:hAnsi="Arial" w:cs="Arial"/>
          <w:vanish/>
          <w:color w:val="000080"/>
          <w:sz w:val="32"/>
          <w:szCs w:val="32"/>
        </w:rPr>
        <w:instrText>seq Figure  \* Arabic</w:instrText>
      </w:r>
      <w:r w:rsidR="00D4715E" w:rsidRPr="009D54DC">
        <w:rPr>
          <w:rFonts w:ascii="Arial" w:hAnsi="Arial" w:cs="Arial"/>
          <w:vanish/>
          <w:color w:val="000080"/>
          <w:sz w:val="32"/>
          <w:szCs w:val="32"/>
        </w:rPr>
        <w:fldChar w:fldCharType="separate"/>
      </w:r>
      <w:r w:rsidR="00E54832">
        <w:rPr>
          <w:rFonts w:ascii="Arial" w:hAnsi="Arial" w:cs="Arial"/>
          <w:noProof/>
          <w:vanish/>
          <w:color w:val="000080"/>
          <w:sz w:val="32"/>
          <w:szCs w:val="32"/>
        </w:rPr>
        <w:t>1</w:t>
      </w:r>
      <w:r w:rsidR="00D4715E" w:rsidRPr="009D54DC">
        <w:rPr>
          <w:rFonts w:ascii="Arial" w:hAnsi="Arial" w:cs="Arial"/>
          <w:vanish/>
          <w:color w:val="000080"/>
          <w:sz w:val="32"/>
          <w:szCs w:val="32"/>
        </w:rPr>
        <w:fldChar w:fldCharType="end"/>
      </w:r>
    </w:p>
    <w:p w:rsidR="007944DC" w:rsidRPr="009D54DC" w:rsidRDefault="007944DC" w:rsidP="0009687A">
      <w:pPr>
        <w:pStyle w:val="Heading1"/>
        <w:tabs>
          <w:tab w:val="clear" w:pos="5587"/>
          <w:tab w:val="center" w:pos="7200"/>
        </w:tabs>
        <w:ind w:left="180"/>
        <w:jc w:val="center"/>
        <w:rPr>
          <w:rFonts w:ascii="Arial" w:hAnsi="Arial" w:cs="Arial"/>
          <w:color w:val="000080"/>
          <w:sz w:val="32"/>
          <w:szCs w:val="32"/>
        </w:rPr>
      </w:pPr>
      <w:r w:rsidRPr="009D54DC">
        <w:rPr>
          <w:rFonts w:ascii="Arial" w:hAnsi="Arial" w:cs="Arial"/>
          <w:color w:val="000080"/>
          <w:sz w:val="32"/>
          <w:szCs w:val="32"/>
        </w:rPr>
        <w:t>Residential Rates</w:t>
      </w:r>
    </w:p>
    <w:p w:rsidR="00953CA6" w:rsidRPr="009D54DC" w:rsidRDefault="00953CA6" w:rsidP="0009687A">
      <w:pPr>
        <w:pStyle w:val="Heading1"/>
        <w:tabs>
          <w:tab w:val="clear" w:pos="5587"/>
          <w:tab w:val="center" w:pos="7200"/>
        </w:tabs>
        <w:ind w:left="180"/>
        <w:jc w:val="center"/>
        <w:rPr>
          <w:rFonts w:ascii="Arial" w:hAnsi="Arial" w:cs="Arial"/>
          <w:color w:val="000080"/>
          <w:sz w:val="32"/>
          <w:szCs w:val="32"/>
        </w:rPr>
      </w:pPr>
      <w:r w:rsidRPr="009D54DC">
        <w:rPr>
          <w:rFonts w:ascii="Arial" w:hAnsi="Arial" w:cs="Arial"/>
          <w:color w:val="000080"/>
          <w:sz w:val="32"/>
          <w:szCs w:val="32"/>
        </w:rPr>
        <w:t>Electric, Gas, Water, &amp; Wastewater</w:t>
      </w:r>
    </w:p>
    <w:p w:rsidR="00953CA6" w:rsidRPr="009D54DC" w:rsidRDefault="00953CA6" w:rsidP="0009687A">
      <w:pPr>
        <w:tabs>
          <w:tab w:val="left" w:pos="450"/>
          <w:tab w:val="center" w:pos="7200"/>
        </w:tabs>
        <w:suppressAutoHyphens/>
        <w:ind w:left="180"/>
        <w:jc w:val="center"/>
        <w:rPr>
          <w:rFonts w:ascii="Arial" w:hAnsi="Arial" w:cs="Arial"/>
          <w:lang w:val="fr-FR"/>
        </w:rPr>
      </w:pPr>
      <w:r w:rsidRPr="009D54DC">
        <w:rPr>
          <w:rFonts w:ascii="Arial" w:hAnsi="Arial" w:cs="Arial"/>
          <w:b/>
          <w:color w:val="800000"/>
          <w:lang w:val="fr-FR"/>
        </w:rPr>
        <w:t xml:space="preserve">Effective </w:t>
      </w:r>
      <w:r w:rsidR="00B7605E">
        <w:rPr>
          <w:rFonts w:ascii="Arial" w:hAnsi="Arial" w:cs="Arial"/>
          <w:b/>
          <w:color w:val="800000"/>
        </w:rPr>
        <w:t>October</w:t>
      </w:r>
      <w:r w:rsidR="001C4E71">
        <w:rPr>
          <w:rFonts w:ascii="Arial" w:hAnsi="Arial" w:cs="Arial"/>
          <w:b/>
          <w:color w:val="800000"/>
        </w:rPr>
        <w:t xml:space="preserve"> 1</w:t>
      </w:r>
      <w:r w:rsidRPr="009D54DC">
        <w:rPr>
          <w:rFonts w:ascii="Arial" w:hAnsi="Arial" w:cs="Arial"/>
          <w:b/>
          <w:color w:val="800000"/>
          <w:lang w:val="fr-FR"/>
        </w:rPr>
        <w:t>, 20</w:t>
      </w:r>
      <w:r w:rsidR="000F51AD">
        <w:rPr>
          <w:rFonts w:ascii="Arial" w:hAnsi="Arial" w:cs="Arial"/>
          <w:b/>
          <w:color w:val="800000"/>
          <w:lang w:val="fr-FR"/>
        </w:rPr>
        <w:t>2</w:t>
      </w:r>
      <w:r w:rsidR="00993723">
        <w:rPr>
          <w:rFonts w:ascii="Arial" w:hAnsi="Arial" w:cs="Arial"/>
          <w:b/>
          <w:color w:val="800000"/>
          <w:lang w:val="fr-FR"/>
        </w:rPr>
        <w:t>1</w:t>
      </w:r>
    </w:p>
    <w:p w:rsidR="00953CA6" w:rsidRPr="00B337E5" w:rsidRDefault="00953CA6" w:rsidP="00096F6F">
      <w:pPr>
        <w:pStyle w:val="Heading3"/>
        <w:shd w:val="clear" w:color="auto" w:fill="D9D9D9" w:themeFill="background1" w:themeFillShade="D9"/>
        <w:rPr>
          <w:rFonts w:cs="Arial"/>
          <w:color w:val="000080"/>
        </w:rPr>
      </w:pPr>
      <w:r w:rsidRPr="00B337E5">
        <w:rPr>
          <w:rFonts w:cs="Arial"/>
          <w:color w:val="000080"/>
        </w:rPr>
        <w:t>TYPE OF SERVICE</w:t>
      </w:r>
      <w:r w:rsidRPr="00B337E5">
        <w:rPr>
          <w:rFonts w:cs="Arial"/>
          <w:color w:val="000080"/>
        </w:rPr>
        <w:tab/>
        <w:t>UNITS</w:t>
      </w:r>
      <w:r w:rsidRPr="00B337E5">
        <w:rPr>
          <w:rFonts w:cs="Arial"/>
          <w:color w:val="000080"/>
        </w:rPr>
        <w:tab/>
        <w:t>COST/UNIT</w:t>
      </w:r>
      <w:r w:rsidRPr="00B337E5">
        <w:rPr>
          <w:rFonts w:cs="Arial"/>
          <w:color w:val="000080"/>
        </w:rPr>
        <w:tab/>
        <w:t>NOTES</w:t>
      </w:r>
    </w:p>
    <w:p w:rsidR="00820561" w:rsidRPr="009D54DC" w:rsidRDefault="00820561" w:rsidP="00820561">
      <w:pPr>
        <w:tabs>
          <w:tab w:val="left" w:pos="360"/>
          <w:tab w:val="left" w:pos="720"/>
          <w:tab w:val="left" w:pos="4680"/>
          <w:tab w:val="left" w:pos="7110"/>
          <w:tab w:val="center" w:pos="7470"/>
          <w:tab w:val="left" w:pos="9720"/>
          <w:tab w:val="left" w:pos="11101"/>
        </w:tabs>
        <w:rPr>
          <w:rFonts w:ascii="Arial" w:hAnsi="Arial" w:cs="Arial"/>
          <w:color w:val="000080"/>
        </w:rPr>
      </w:pPr>
      <w:r w:rsidRPr="009D54DC">
        <w:rPr>
          <w:rFonts w:ascii="Arial" w:hAnsi="Arial" w:cs="Arial"/>
          <w:b/>
          <w:color w:val="000080"/>
        </w:rPr>
        <w:t xml:space="preserve">Electric - </w:t>
      </w:r>
      <w:r w:rsidRPr="00B337E5">
        <w:rPr>
          <w:rFonts w:ascii="Arial" w:hAnsi="Arial" w:cs="Arial"/>
          <w:b/>
          <w:color w:val="000080"/>
        </w:rPr>
        <w:t>Regular</w:t>
      </w:r>
      <w:r w:rsidRPr="009D54DC">
        <w:rPr>
          <w:rFonts w:ascii="Arial" w:hAnsi="Arial" w:cs="Arial"/>
          <w:b/>
          <w:color w:val="000080"/>
        </w:rPr>
        <w:t xml:space="preserve"> Service</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t xml:space="preserve">$ </w:t>
      </w:r>
      <w:r w:rsidR="00993723">
        <w:rPr>
          <w:rFonts w:ascii="Arial" w:hAnsi="Arial" w:cs="Arial"/>
          <w:color w:val="000000"/>
        </w:rPr>
        <w:t>16</w:t>
      </w:r>
      <w:r>
        <w:rPr>
          <w:rFonts w:ascii="Arial" w:hAnsi="Arial" w:cs="Arial"/>
          <w:color w:val="000000"/>
        </w:rPr>
        <w:t>.00</w:t>
      </w:r>
      <w:r w:rsidRPr="009D54DC">
        <w:rPr>
          <w:rFonts w:ascii="Arial" w:hAnsi="Arial" w:cs="Arial"/>
          <w:color w:val="000000"/>
        </w:rPr>
        <w:tab/>
        <w:t>a,b,d,</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sidRPr="009D54DC">
        <w:rPr>
          <w:rFonts w:ascii="Arial" w:hAnsi="Arial" w:cs="Arial"/>
          <w:color w:val="000000"/>
        </w:rPr>
        <w:tab/>
      </w:r>
      <w:r>
        <w:rPr>
          <w:rFonts w:ascii="Arial" w:hAnsi="Arial" w:cs="Arial"/>
          <w:color w:val="000000"/>
        </w:rPr>
        <w:t>Tier 1 (0 - 8</w:t>
      </w:r>
      <w:r w:rsidRPr="009D54DC">
        <w:rPr>
          <w:rFonts w:ascii="Arial" w:hAnsi="Arial" w:cs="Arial"/>
          <w:color w:val="000000"/>
        </w:rPr>
        <w:t>50 kWh</w:t>
      </w:r>
      <w:r>
        <w:rPr>
          <w:rFonts w:ascii="Arial" w:hAnsi="Arial" w:cs="Arial"/>
          <w:color w:val="000000"/>
        </w:rPr>
        <w:t>)</w:t>
      </w:r>
      <w:r w:rsidRPr="009D54DC">
        <w:rPr>
          <w:rFonts w:ascii="Arial" w:hAnsi="Arial" w:cs="Arial"/>
          <w:color w:val="000000"/>
        </w:rPr>
        <w:tab/>
        <w:t>$/kWh</w:t>
      </w:r>
      <w:r w:rsidRPr="009D54DC">
        <w:rPr>
          <w:rFonts w:ascii="Arial" w:hAnsi="Arial" w:cs="Arial"/>
          <w:color w:val="000000"/>
        </w:rPr>
        <w:tab/>
        <w:t>$ 0.0</w:t>
      </w:r>
      <w:r w:rsidR="00993723">
        <w:rPr>
          <w:rFonts w:ascii="Arial" w:hAnsi="Arial" w:cs="Arial"/>
          <w:color w:val="000000"/>
        </w:rPr>
        <w:t>797</w:t>
      </w:r>
      <w:r w:rsidRPr="009D54DC">
        <w:rPr>
          <w:rFonts w:ascii="Arial" w:hAnsi="Arial" w:cs="Arial"/>
          <w:color w:val="000000"/>
        </w:rPr>
        <w:tab/>
        <w:t>a,b,d,</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sidRPr="009D54DC">
        <w:rPr>
          <w:rFonts w:ascii="Arial" w:hAnsi="Arial" w:cs="Arial"/>
          <w:color w:val="000000"/>
        </w:rPr>
        <w:tab/>
      </w:r>
      <w:r>
        <w:rPr>
          <w:rFonts w:ascii="Arial" w:hAnsi="Arial" w:cs="Arial"/>
          <w:color w:val="000000"/>
        </w:rPr>
        <w:t>Tier 2 (OVER 8</w:t>
      </w:r>
      <w:r w:rsidRPr="009D54DC">
        <w:rPr>
          <w:rFonts w:ascii="Arial" w:hAnsi="Arial" w:cs="Arial"/>
          <w:color w:val="000000"/>
        </w:rPr>
        <w:t>50</w:t>
      </w:r>
      <w:r>
        <w:rPr>
          <w:rFonts w:ascii="Arial" w:hAnsi="Arial" w:cs="Arial"/>
          <w:color w:val="000000"/>
        </w:rPr>
        <w:t xml:space="preserve"> </w:t>
      </w:r>
      <w:r w:rsidRPr="009D54DC">
        <w:rPr>
          <w:rFonts w:ascii="Arial" w:hAnsi="Arial" w:cs="Arial"/>
          <w:color w:val="000000"/>
        </w:rPr>
        <w:t>kWh</w:t>
      </w:r>
      <w:r>
        <w:rPr>
          <w:rFonts w:ascii="Arial" w:hAnsi="Arial" w:cs="Arial"/>
          <w:color w:val="000000"/>
        </w:rPr>
        <w:t>)</w:t>
      </w:r>
      <w:r w:rsidRPr="009D54DC">
        <w:rPr>
          <w:rFonts w:ascii="Arial" w:hAnsi="Arial" w:cs="Arial"/>
          <w:color w:val="000000"/>
        </w:rPr>
        <w:t xml:space="preserve"> </w:t>
      </w:r>
      <w:r w:rsidR="00993723">
        <w:rPr>
          <w:rFonts w:ascii="Arial" w:hAnsi="Arial" w:cs="Arial"/>
          <w:color w:val="000000"/>
        </w:rPr>
        <w:tab/>
        <w:t>$/kWh</w:t>
      </w:r>
      <w:r w:rsidR="00993723">
        <w:rPr>
          <w:rFonts w:ascii="Arial" w:hAnsi="Arial" w:cs="Arial"/>
          <w:color w:val="000000"/>
        </w:rPr>
        <w:tab/>
        <w:t>$ 0.1056</w:t>
      </w:r>
      <w:r w:rsidRPr="009D54DC">
        <w:rPr>
          <w:rFonts w:ascii="Arial" w:hAnsi="Arial" w:cs="Arial"/>
          <w:color w:val="000000"/>
        </w:rPr>
        <w:tab/>
        <w:t>a,b,d,</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Fuel Adjustment</w:t>
      </w:r>
      <w:r w:rsidRPr="009D54DC">
        <w:rPr>
          <w:rFonts w:ascii="Arial" w:hAnsi="Arial" w:cs="Arial"/>
          <w:color w:val="000000"/>
        </w:rPr>
        <w:tab/>
        <w:t>$/kWh</w:t>
      </w:r>
      <w:r w:rsidRPr="009D54DC">
        <w:rPr>
          <w:rFonts w:ascii="Arial" w:hAnsi="Arial" w:cs="Arial"/>
          <w:color w:val="000000"/>
        </w:rPr>
        <w:tab/>
      </w:r>
      <w:r>
        <w:rPr>
          <w:rFonts w:ascii="Arial" w:hAnsi="Arial" w:cs="Arial"/>
          <w:color w:val="000000"/>
        </w:rPr>
        <w:t>Subject to change monthly</w:t>
      </w:r>
      <w:r w:rsidRPr="009D54DC">
        <w:rPr>
          <w:rFonts w:ascii="Arial" w:hAnsi="Arial" w:cs="Arial"/>
          <w:color w:val="000000"/>
        </w:rPr>
        <w:tab/>
        <w:t>d,</w:t>
      </w:r>
      <w:r>
        <w:rPr>
          <w:rFonts w:ascii="Arial" w:hAnsi="Arial" w:cs="Arial"/>
          <w:color w:val="000000"/>
        </w:rPr>
        <w:t>f</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Natural Gas Service</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t>$ 9.</w:t>
      </w:r>
      <w:r>
        <w:rPr>
          <w:rFonts w:ascii="Arial" w:hAnsi="Arial" w:cs="Arial"/>
          <w:color w:val="000000"/>
        </w:rPr>
        <w:t>75</w:t>
      </w:r>
      <w:r w:rsidRPr="009D54DC">
        <w:rPr>
          <w:rFonts w:ascii="Arial" w:hAnsi="Arial" w:cs="Arial"/>
          <w:color w:val="000000"/>
        </w:rPr>
        <w:tab/>
        <w:t>a,b,e,</w:t>
      </w:r>
      <w:r>
        <w:rPr>
          <w:rFonts w:ascii="Arial" w:hAnsi="Arial" w:cs="Arial"/>
          <w:color w:val="000000"/>
        </w:rPr>
        <w:t>i</w:t>
      </w:r>
    </w:p>
    <w:p w:rsidR="00993723"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Pr>
          <w:rFonts w:ascii="Arial" w:hAnsi="Arial" w:cs="Arial"/>
          <w:color w:val="000000"/>
        </w:rPr>
        <w:tab/>
        <w:t>Gas Use</w:t>
      </w:r>
      <w:r w:rsidRPr="009D54DC">
        <w:rPr>
          <w:rFonts w:ascii="Arial" w:hAnsi="Arial" w:cs="Arial"/>
          <w:color w:val="000000"/>
        </w:rPr>
        <w:tab/>
        <w:t>$/therm</w:t>
      </w:r>
      <w:r w:rsidRPr="009D54DC">
        <w:rPr>
          <w:rFonts w:ascii="Arial" w:hAnsi="Arial" w:cs="Arial"/>
          <w:color w:val="000000"/>
        </w:rPr>
        <w:tab/>
        <w:t>$ 0.</w:t>
      </w:r>
      <w:r>
        <w:rPr>
          <w:rFonts w:ascii="Arial" w:hAnsi="Arial" w:cs="Arial"/>
          <w:color w:val="000000"/>
        </w:rPr>
        <w:t>634</w:t>
      </w:r>
      <w:r w:rsidRPr="009D54DC">
        <w:rPr>
          <w:rFonts w:ascii="Arial" w:hAnsi="Arial" w:cs="Arial"/>
          <w:color w:val="000000"/>
        </w:rPr>
        <w:tab/>
        <w:t>a,b,e,</w:t>
      </w:r>
      <w:r>
        <w:rPr>
          <w:rFonts w:ascii="Arial" w:hAnsi="Arial" w:cs="Arial"/>
          <w:color w:val="000000"/>
        </w:rPr>
        <w:t>i</w:t>
      </w:r>
    </w:p>
    <w:p w:rsidR="00993723"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Manufactured Gas Plant Cost Recovery</w:t>
      </w:r>
      <w:r w:rsidRPr="009D54DC">
        <w:rPr>
          <w:rFonts w:ascii="Arial" w:hAnsi="Arial" w:cs="Arial"/>
          <w:color w:val="000000"/>
        </w:rPr>
        <w:tab/>
        <w:t>$/therm</w:t>
      </w:r>
      <w:r w:rsidRPr="009D54DC">
        <w:rPr>
          <w:rFonts w:ascii="Arial" w:hAnsi="Arial" w:cs="Arial"/>
          <w:color w:val="000000"/>
        </w:rPr>
        <w:tab/>
        <w:t>$ 0.05</w:t>
      </w:r>
      <w:r>
        <w:rPr>
          <w:rFonts w:ascii="Arial" w:hAnsi="Arial" w:cs="Arial"/>
          <w:color w:val="000000"/>
        </w:rPr>
        <w:t>56</w:t>
      </w:r>
      <w:r w:rsidRPr="009D54DC">
        <w:rPr>
          <w:rFonts w:ascii="Arial" w:hAnsi="Arial" w:cs="Arial"/>
          <w:color w:val="000000"/>
        </w:rPr>
        <w:tab/>
        <w:t>a,b,e</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sidRPr="0077258D">
        <w:rPr>
          <w:rFonts w:ascii="Arial" w:hAnsi="Arial"/>
          <w:color w:val="000000"/>
        </w:rPr>
        <w:t>Purchased Gas</w:t>
      </w:r>
      <w:r w:rsidRPr="004C465A">
        <w:rPr>
          <w:rFonts w:ascii="Arial" w:hAnsi="Arial"/>
          <w:color w:val="000000"/>
        </w:rPr>
        <w:t xml:space="preserve"> Adjustment</w:t>
      </w:r>
      <w:r w:rsidRPr="009D54DC">
        <w:rPr>
          <w:rFonts w:ascii="Arial" w:hAnsi="Arial" w:cs="Arial"/>
          <w:color w:val="000000"/>
        </w:rPr>
        <w:tab/>
        <w:t>$/therm</w:t>
      </w:r>
      <w:r w:rsidRPr="009D54DC">
        <w:rPr>
          <w:rFonts w:ascii="Arial" w:hAnsi="Arial" w:cs="Arial"/>
          <w:color w:val="000000"/>
        </w:rPr>
        <w:tab/>
      </w:r>
      <w:r>
        <w:rPr>
          <w:rFonts w:ascii="Arial" w:hAnsi="Arial" w:cs="Arial"/>
          <w:color w:val="000000"/>
        </w:rPr>
        <w:t>Subject to change monthly</w:t>
      </w:r>
      <w:r w:rsidRPr="009D54DC">
        <w:rPr>
          <w:rFonts w:ascii="Arial" w:hAnsi="Arial" w:cs="Arial"/>
          <w:color w:val="000000"/>
        </w:rPr>
        <w:tab/>
        <w:t>e,i</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80"/>
          <w:lang w:val="fr-FR"/>
        </w:rPr>
      </w:pPr>
      <w:r w:rsidRPr="009D54DC">
        <w:rPr>
          <w:rFonts w:ascii="Arial" w:hAnsi="Arial" w:cs="Arial"/>
          <w:b/>
          <w:color w:val="000080"/>
          <w:lang w:val="fr-FR"/>
        </w:rPr>
        <w:t>Liquid Propane Gas Service</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t>$ 9.</w:t>
      </w:r>
      <w:r>
        <w:rPr>
          <w:rFonts w:ascii="Arial" w:hAnsi="Arial" w:cs="Arial"/>
          <w:color w:val="000000"/>
        </w:rPr>
        <w:t>75</w:t>
      </w:r>
      <w:r w:rsidRPr="009D54DC">
        <w:rPr>
          <w:rFonts w:ascii="Arial" w:hAnsi="Arial" w:cs="Arial"/>
          <w:color w:val="000000"/>
        </w:rPr>
        <w:tab/>
        <w:t>a,</w:t>
      </w:r>
      <w:r>
        <w:rPr>
          <w:rFonts w:ascii="Arial" w:hAnsi="Arial" w:cs="Arial"/>
          <w:color w:val="000000"/>
        </w:rPr>
        <w:t>i</w:t>
      </w:r>
    </w:p>
    <w:p w:rsidR="00820561"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Pr>
          <w:rFonts w:ascii="Arial" w:hAnsi="Arial" w:cs="Arial"/>
          <w:color w:val="000000"/>
        </w:rPr>
        <w:tab/>
        <w:t>Basic Gas Use</w:t>
      </w:r>
      <w:r>
        <w:rPr>
          <w:rFonts w:ascii="Arial" w:hAnsi="Arial" w:cs="Arial"/>
          <w:color w:val="000000"/>
        </w:rPr>
        <w:tab/>
        <w:t>$/gallon</w:t>
      </w:r>
      <w:r>
        <w:rPr>
          <w:rFonts w:ascii="Arial" w:hAnsi="Arial" w:cs="Arial"/>
          <w:color w:val="000000"/>
        </w:rPr>
        <w:tab/>
        <w:t>$ 0.72376</w:t>
      </w:r>
      <w:r w:rsidRPr="009D54DC">
        <w:rPr>
          <w:rFonts w:ascii="Arial" w:hAnsi="Arial" w:cs="Arial"/>
          <w:color w:val="000000"/>
        </w:rPr>
        <w:tab/>
        <w:t>a,</w:t>
      </w:r>
      <w:r>
        <w:rPr>
          <w:rFonts w:ascii="Arial" w:hAnsi="Arial" w:cs="Arial"/>
          <w:color w:val="000000"/>
        </w:rPr>
        <w:t>i</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Pr>
          <w:rFonts w:ascii="Arial" w:hAnsi="Arial"/>
          <w:color w:val="000000"/>
        </w:rPr>
        <w:tab/>
      </w:r>
      <w:r w:rsidRPr="0077258D">
        <w:rPr>
          <w:rFonts w:ascii="Arial" w:hAnsi="Arial"/>
          <w:color w:val="000000"/>
        </w:rPr>
        <w:t>Purchased Gas</w:t>
      </w:r>
      <w:r w:rsidRPr="004C465A">
        <w:rPr>
          <w:rFonts w:ascii="Arial" w:hAnsi="Arial"/>
          <w:color w:val="000000"/>
        </w:rPr>
        <w:t xml:space="preserve"> Adjustment</w:t>
      </w:r>
      <w:r w:rsidRPr="009D54DC">
        <w:rPr>
          <w:rFonts w:ascii="Arial" w:hAnsi="Arial" w:cs="Arial"/>
          <w:color w:val="000000"/>
        </w:rPr>
        <w:tab/>
        <w:t>$/gallon</w:t>
      </w:r>
      <w:r w:rsidRPr="009D54DC">
        <w:rPr>
          <w:rFonts w:ascii="Arial" w:hAnsi="Arial" w:cs="Arial"/>
          <w:color w:val="000000"/>
        </w:rPr>
        <w:tab/>
      </w:r>
      <w:r>
        <w:rPr>
          <w:rFonts w:ascii="Arial" w:hAnsi="Arial" w:cs="Arial"/>
          <w:color w:val="000000"/>
        </w:rPr>
        <w:t>Subject to change monthly</w:t>
      </w:r>
      <w:r w:rsidRPr="009D54DC">
        <w:rPr>
          <w:rFonts w:ascii="Arial" w:hAnsi="Arial" w:cs="Arial"/>
          <w:color w:val="000000"/>
        </w:rPr>
        <w:tab/>
      </w:r>
      <w:r>
        <w:rPr>
          <w:rFonts w:ascii="Arial" w:hAnsi="Arial" w:cs="Arial"/>
          <w:color w:val="000000"/>
        </w:rPr>
        <w:t>f</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Water Service (Domestic meter)</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r>
      <w:r>
        <w:rPr>
          <w:rFonts w:ascii="Arial" w:hAnsi="Arial" w:cs="Arial"/>
          <w:color w:val="000000"/>
        </w:rPr>
        <w:t>Based on Meter Size</w:t>
      </w:r>
      <w:r w:rsidRPr="009D54DC">
        <w:rPr>
          <w:rFonts w:ascii="Arial" w:hAnsi="Arial" w:cs="Arial"/>
          <w:color w:val="000000"/>
        </w:rPr>
        <w:tab/>
        <w:t>a,c,</w:t>
      </w:r>
      <w:r>
        <w:rPr>
          <w:rFonts w:ascii="Arial" w:hAnsi="Arial" w:cs="Arial"/>
          <w:color w:val="000000"/>
        </w:rPr>
        <w:t>i,j</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lang w:val="fr-FR"/>
        </w:rPr>
      </w:pPr>
      <w:r w:rsidRPr="009D54DC">
        <w:rPr>
          <w:rFonts w:ascii="Arial" w:hAnsi="Arial" w:cs="Arial"/>
          <w:color w:val="000000"/>
        </w:rPr>
        <w:tab/>
      </w:r>
      <w:r w:rsidRPr="009D54DC">
        <w:rPr>
          <w:rFonts w:ascii="Arial" w:hAnsi="Arial" w:cs="Arial"/>
          <w:color w:val="000000"/>
        </w:rPr>
        <w:tab/>
      </w:r>
      <w:r>
        <w:rPr>
          <w:rFonts w:ascii="Arial" w:hAnsi="Arial" w:cs="Arial"/>
          <w:color w:val="000000"/>
        </w:rPr>
        <w:t>Tier 1 (1,000 – 4,</w:t>
      </w:r>
      <w:r w:rsidRPr="009D54DC">
        <w:rPr>
          <w:rFonts w:ascii="Arial" w:hAnsi="Arial" w:cs="Arial"/>
          <w:color w:val="000000"/>
        </w:rPr>
        <w:t>00</w:t>
      </w:r>
      <w:r>
        <w:rPr>
          <w:rFonts w:ascii="Arial" w:hAnsi="Arial" w:cs="Arial"/>
          <w:color w:val="000000"/>
        </w:rPr>
        <w:t>0 Gallons)</w:t>
      </w:r>
      <w:r>
        <w:rPr>
          <w:rFonts w:ascii="Arial" w:hAnsi="Arial" w:cs="Arial"/>
          <w:color w:val="000000"/>
        </w:rPr>
        <w:tab/>
        <w:t>$/1000 gallons</w:t>
      </w:r>
      <w:r>
        <w:rPr>
          <w:rFonts w:ascii="Arial" w:hAnsi="Arial" w:cs="Arial"/>
          <w:color w:val="000000"/>
        </w:rPr>
        <w:tab/>
        <w:t>$ 2.47</w:t>
      </w:r>
      <w:r w:rsidRPr="009D54DC">
        <w:rPr>
          <w:rFonts w:ascii="Arial" w:hAnsi="Arial" w:cs="Arial"/>
          <w:color w:val="000000"/>
        </w:rPr>
        <w:tab/>
        <w:t>a,c,</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lang w:val="fr-FR"/>
        </w:rPr>
      </w:pPr>
      <w:r w:rsidRPr="009D54DC">
        <w:rPr>
          <w:rFonts w:ascii="Arial" w:hAnsi="Arial" w:cs="Arial"/>
          <w:color w:val="000000"/>
        </w:rPr>
        <w:tab/>
      </w:r>
      <w:r w:rsidRPr="009D54DC">
        <w:rPr>
          <w:rFonts w:ascii="Arial" w:hAnsi="Arial" w:cs="Arial"/>
          <w:color w:val="000000"/>
        </w:rPr>
        <w:tab/>
      </w:r>
      <w:r>
        <w:rPr>
          <w:rFonts w:ascii="Arial" w:hAnsi="Arial" w:cs="Arial"/>
          <w:color w:val="000000"/>
        </w:rPr>
        <w:t>Tier 2 (5,</w:t>
      </w:r>
      <w:r w:rsidRPr="009D54DC">
        <w:rPr>
          <w:rFonts w:ascii="Arial" w:hAnsi="Arial" w:cs="Arial"/>
          <w:color w:val="000000"/>
        </w:rPr>
        <w:t xml:space="preserve">000 </w:t>
      </w:r>
      <w:r w:rsidR="005859C4">
        <w:rPr>
          <w:rFonts w:ascii="Arial" w:hAnsi="Arial" w:cs="Arial"/>
          <w:color w:val="000000"/>
        </w:rPr>
        <w:t>– 12</w:t>
      </w:r>
      <w:r w:rsidRPr="009D54DC">
        <w:rPr>
          <w:rFonts w:ascii="Arial" w:hAnsi="Arial" w:cs="Arial"/>
          <w:color w:val="000000"/>
        </w:rPr>
        <w:t>,000 Gallons</w:t>
      </w:r>
      <w:r>
        <w:rPr>
          <w:rFonts w:ascii="Arial" w:hAnsi="Arial" w:cs="Arial"/>
          <w:color w:val="000000"/>
        </w:rPr>
        <w:t>)</w:t>
      </w:r>
      <w:r w:rsidRPr="009D54DC">
        <w:rPr>
          <w:rFonts w:ascii="Arial" w:hAnsi="Arial" w:cs="Arial"/>
          <w:color w:val="000000"/>
        </w:rPr>
        <w:tab/>
        <w:t>$/1000 gallons</w:t>
      </w:r>
      <w:r w:rsidRPr="009D54DC">
        <w:rPr>
          <w:rFonts w:ascii="Arial" w:hAnsi="Arial" w:cs="Arial"/>
          <w:color w:val="000000"/>
        </w:rPr>
        <w:tab/>
        <w:t>$ 3.</w:t>
      </w:r>
      <w:r w:rsidR="00993723">
        <w:rPr>
          <w:rFonts w:ascii="Arial" w:hAnsi="Arial" w:cs="Arial"/>
          <w:color w:val="000000"/>
        </w:rPr>
        <w:t>87</w:t>
      </w:r>
      <w:r w:rsidRPr="009D54DC">
        <w:rPr>
          <w:rFonts w:ascii="Arial" w:hAnsi="Arial" w:cs="Arial"/>
          <w:color w:val="000000"/>
        </w:rPr>
        <w:tab/>
        <w:t>a,c,</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sidRPr="009D54DC">
        <w:rPr>
          <w:rFonts w:ascii="Arial" w:hAnsi="Arial" w:cs="Arial"/>
          <w:color w:val="000000"/>
        </w:rPr>
        <w:tab/>
      </w:r>
      <w:r w:rsidR="005859C4">
        <w:rPr>
          <w:rFonts w:ascii="Arial" w:hAnsi="Arial" w:cs="Arial"/>
          <w:color w:val="000000"/>
        </w:rPr>
        <w:t>Tier 3 (OVER 12</w:t>
      </w:r>
      <w:r w:rsidRPr="009D54DC">
        <w:rPr>
          <w:rFonts w:ascii="Arial" w:hAnsi="Arial" w:cs="Arial"/>
          <w:color w:val="000000"/>
        </w:rPr>
        <w:t>,000 Gallons</w:t>
      </w:r>
      <w:r>
        <w:rPr>
          <w:rFonts w:ascii="Arial" w:hAnsi="Arial" w:cs="Arial"/>
          <w:color w:val="000000"/>
        </w:rPr>
        <w:t>)</w:t>
      </w:r>
      <w:r w:rsidRPr="009D54DC">
        <w:rPr>
          <w:rFonts w:ascii="Arial" w:hAnsi="Arial" w:cs="Arial"/>
          <w:color w:val="000000"/>
        </w:rPr>
        <w:tab/>
        <w:t>$/1000 gallons</w:t>
      </w:r>
      <w:r w:rsidRPr="009D54DC">
        <w:rPr>
          <w:rFonts w:ascii="Arial" w:hAnsi="Arial" w:cs="Arial"/>
          <w:color w:val="000000"/>
        </w:rPr>
        <w:tab/>
        <w:t xml:space="preserve">$ </w:t>
      </w:r>
      <w:r>
        <w:rPr>
          <w:rFonts w:ascii="Arial" w:hAnsi="Arial" w:cs="Arial"/>
          <w:color w:val="000000"/>
        </w:rPr>
        <w:t>6.04</w:t>
      </w:r>
      <w:r w:rsidRPr="009D54DC">
        <w:rPr>
          <w:rFonts w:ascii="Arial" w:hAnsi="Arial" w:cs="Arial"/>
          <w:color w:val="000000"/>
        </w:rPr>
        <w:tab/>
        <w:t>a,c,</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Water Service (</w:t>
      </w:r>
      <w:r>
        <w:rPr>
          <w:rFonts w:ascii="Arial" w:hAnsi="Arial" w:cs="Arial"/>
          <w:b/>
          <w:color w:val="000080"/>
        </w:rPr>
        <w:t>Multiple-Family</w:t>
      </w:r>
      <w:r w:rsidRPr="009D54DC">
        <w:rPr>
          <w:rFonts w:ascii="Arial" w:hAnsi="Arial" w:cs="Arial"/>
          <w:b/>
          <w:color w:val="000080"/>
        </w:rPr>
        <w:t>)</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r>
      <w:r>
        <w:rPr>
          <w:rFonts w:ascii="Arial" w:hAnsi="Arial" w:cs="Arial"/>
          <w:color w:val="000000"/>
        </w:rPr>
        <w:t>Based on Meter Size</w:t>
      </w:r>
      <w:r w:rsidRPr="009D54DC">
        <w:rPr>
          <w:rFonts w:ascii="Arial" w:hAnsi="Arial" w:cs="Arial"/>
          <w:color w:val="000000"/>
        </w:rPr>
        <w:tab/>
        <w:t>a,c,</w:t>
      </w:r>
      <w:r>
        <w:rPr>
          <w:rFonts w:ascii="Arial" w:hAnsi="Arial" w:cs="Arial"/>
          <w:color w:val="000000"/>
        </w:rPr>
        <w:t>i,j</w:t>
      </w:r>
    </w:p>
    <w:p w:rsidR="00820561" w:rsidRPr="00870614"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lang w:val="fr-FR"/>
        </w:rPr>
      </w:pPr>
      <w:r w:rsidRPr="009D54DC">
        <w:rPr>
          <w:rFonts w:ascii="Arial" w:hAnsi="Arial" w:cs="Arial"/>
          <w:color w:val="000000"/>
        </w:rPr>
        <w:tab/>
      </w:r>
      <w:r w:rsidRPr="009D54DC">
        <w:rPr>
          <w:rFonts w:ascii="Arial" w:hAnsi="Arial" w:cs="Arial"/>
          <w:color w:val="000000"/>
        </w:rPr>
        <w:tab/>
      </w:r>
      <w:r w:rsidR="00993723">
        <w:rPr>
          <w:rFonts w:ascii="Arial" w:hAnsi="Arial" w:cs="Arial"/>
          <w:color w:val="000000"/>
        </w:rPr>
        <w:t>Water Use</w:t>
      </w:r>
      <w:r w:rsidR="00993723">
        <w:rPr>
          <w:rFonts w:ascii="Arial" w:hAnsi="Arial" w:cs="Arial"/>
          <w:color w:val="000000"/>
        </w:rPr>
        <w:tab/>
        <w:t>$/1000 gallons</w:t>
      </w:r>
      <w:r w:rsidR="00993723">
        <w:rPr>
          <w:rFonts w:ascii="Arial" w:hAnsi="Arial" w:cs="Arial"/>
          <w:color w:val="000000"/>
        </w:rPr>
        <w:tab/>
        <w:t>$ 3.87</w:t>
      </w:r>
      <w:r w:rsidRPr="009D54DC">
        <w:rPr>
          <w:rFonts w:ascii="Arial" w:hAnsi="Arial" w:cs="Arial"/>
          <w:color w:val="000000"/>
        </w:rPr>
        <w:tab/>
        <w:t>a,c,</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Water Service (Irrigation only meter)</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r>
      <w:r>
        <w:rPr>
          <w:rFonts w:ascii="Arial" w:hAnsi="Arial" w:cs="Arial"/>
          <w:color w:val="000000"/>
        </w:rPr>
        <w:t>Based on Meter Size</w:t>
      </w:r>
      <w:r w:rsidRPr="009D54DC">
        <w:rPr>
          <w:rFonts w:ascii="Arial" w:hAnsi="Arial" w:cs="Arial"/>
          <w:color w:val="000000"/>
        </w:rPr>
        <w:tab/>
        <w:t>a,c,</w:t>
      </w:r>
      <w:r>
        <w:rPr>
          <w:rFonts w:ascii="Arial" w:hAnsi="Arial" w:cs="Arial"/>
          <w:color w:val="000000"/>
        </w:rPr>
        <w:t>i,j</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lang w:val="fr-FR"/>
        </w:rPr>
      </w:pPr>
      <w:r w:rsidRPr="009D54DC">
        <w:rPr>
          <w:rFonts w:ascii="Arial" w:hAnsi="Arial" w:cs="Arial"/>
          <w:color w:val="000000"/>
          <w:lang w:val="fr-FR"/>
        </w:rPr>
        <w:tab/>
      </w:r>
      <w:r w:rsidRPr="009D54DC">
        <w:rPr>
          <w:rFonts w:ascii="Arial" w:hAnsi="Arial" w:cs="Arial"/>
          <w:color w:val="000000"/>
          <w:lang w:val="fr-FR"/>
        </w:rPr>
        <w:tab/>
      </w:r>
      <w:r>
        <w:rPr>
          <w:rFonts w:ascii="Arial" w:hAnsi="Arial" w:cs="Arial"/>
          <w:color w:val="000000"/>
        </w:rPr>
        <w:t xml:space="preserve">Tier </w:t>
      </w:r>
      <w:r>
        <w:rPr>
          <w:rFonts w:ascii="Arial" w:hAnsi="Arial" w:cs="Arial"/>
          <w:color w:val="000000"/>
          <w:lang w:val="fr-FR"/>
        </w:rPr>
        <w:t>1</w:t>
      </w:r>
      <w:r w:rsidRPr="009D54DC">
        <w:rPr>
          <w:rFonts w:ascii="Arial" w:hAnsi="Arial" w:cs="Arial"/>
          <w:color w:val="000000"/>
          <w:lang w:val="fr-FR"/>
        </w:rPr>
        <w:t xml:space="preserve"> </w:t>
      </w:r>
      <w:r>
        <w:rPr>
          <w:rFonts w:ascii="Arial" w:hAnsi="Arial" w:cs="Arial"/>
          <w:color w:val="000000"/>
          <w:lang w:val="fr-FR"/>
        </w:rPr>
        <w:t xml:space="preserve">(1,000 - </w:t>
      </w:r>
      <w:r w:rsidRPr="009D54DC">
        <w:rPr>
          <w:rFonts w:ascii="Arial" w:hAnsi="Arial" w:cs="Arial"/>
          <w:color w:val="000000"/>
          <w:lang w:val="fr-FR"/>
        </w:rPr>
        <w:t>1</w:t>
      </w:r>
      <w:r>
        <w:rPr>
          <w:rFonts w:ascii="Arial" w:hAnsi="Arial" w:cs="Arial"/>
          <w:color w:val="000000"/>
          <w:lang w:val="fr-FR"/>
        </w:rPr>
        <w:t>2</w:t>
      </w:r>
      <w:r w:rsidRPr="009D54DC">
        <w:rPr>
          <w:rFonts w:ascii="Arial" w:hAnsi="Arial" w:cs="Arial"/>
          <w:color w:val="000000"/>
          <w:lang w:val="fr-FR"/>
        </w:rPr>
        <w:t>,000 Gallons</w:t>
      </w:r>
      <w:r>
        <w:rPr>
          <w:rFonts w:ascii="Arial" w:hAnsi="Arial" w:cs="Arial"/>
          <w:color w:val="000000"/>
          <w:lang w:val="fr-FR"/>
        </w:rPr>
        <w:t>)</w:t>
      </w:r>
      <w:r w:rsidRPr="009D54DC">
        <w:rPr>
          <w:rFonts w:ascii="Arial" w:hAnsi="Arial" w:cs="Arial"/>
          <w:color w:val="000000"/>
          <w:lang w:val="fr-FR"/>
        </w:rPr>
        <w:tab/>
        <w:t>$/1000 gallons</w:t>
      </w:r>
      <w:r w:rsidRPr="009D54DC">
        <w:rPr>
          <w:rFonts w:ascii="Arial" w:hAnsi="Arial" w:cs="Arial"/>
          <w:color w:val="000000"/>
          <w:lang w:val="fr-FR"/>
        </w:rPr>
        <w:tab/>
        <w:t>$ 3.</w:t>
      </w:r>
      <w:r w:rsidR="00993723">
        <w:rPr>
          <w:rFonts w:ascii="Arial" w:hAnsi="Arial" w:cs="Arial"/>
          <w:color w:val="000000"/>
          <w:lang w:val="fr-FR"/>
        </w:rPr>
        <w:t>87</w:t>
      </w:r>
      <w:r w:rsidRPr="009D54DC">
        <w:rPr>
          <w:rFonts w:ascii="Arial" w:hAnsi="Arial" w:cs="Arial"/>
          <w:color w:val="000000"/>
        </w:rPr>
        <w:tab/>
        <w:t>a,c,</w:t>
      </w:r>
      <w:r>
        <w:rPr>
          <w:rFonts w:ascii="Arial" w:hAnsi="Arial" w:cs="Arial"/>
          <w:color w:val="000000"/>
        </w:rPr>
        <w:t>i</w:t>
      </w:r>
    </w:p>
    <w:p w:rsidR="00820561" w:rsidRPr="009D54DC" w:rsidRDefault="00820561" w:rsidP="00820561">
      <w:pPr>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r>
      <w:r w:rsidRPr="009D54DC">
        <w:rPr>
          <w:rFonts w:ascii="Arial" w:hAnsi="Arial" w:cs="Arial"/>
          <w:color w:val="000000"/>
        </w:rPr>
        <w:tab/>
      </w:r>
      <w:r>
        <w:rPr>
          <w:rFonts w:ascii="Arial" w:hAnsi="Arial" w:cs="Arial"/>
          <w:color w:val="000000"/>
        </w:rPr>
        <w:t>Tier 2 (</w:t>
      </w:r>
      <w:r w:rsidRPr="009D54DC">
        <w:rPr>
          <w:rFonts w:ascii="Arial" w:hAnsi="Arial" w:cs="Arial"/>
          <w:color w:val="000000"/>
        </w:rPr>
        <w:t>O</w:t>
      </w:r>
      <w:r>
        <w:rPr>
          <w:rFonts w:ascii="Arial" w:hAnsi="Arial" w:cs="Arial"/>
          <w:color w:val="000000"/>
        </w:rPr>
        <w:t>VER</w:t>
      </w:r>
      <w:r w:rsidRPr="009D54DC">
        <w:rPr>
          <w:rFonts w:ascii="Arial" w:hAnsi="Arial" w:cs="Arial"/>
          <w:color w:val="000000"/>
        </w:rPr>
        <w:t xml:space="preserve"> 1</w:t>
      </w:r>
      <w:r>
        <w:rPr>
          <w:rFonts w:ascii="Arial" w:hAnsi="Arial" w:cs="Arial"/>
          <w:color w:val="000000"/>
        </w:rPr>
        <w:t>2</w:t>
      </w:r>
      <w:r w:rsidRPr="009D54DC">
        <w:rPr>
          <w:rFonts w:ascii="Arial" w:hAnsi="Arial" w:cs="Arial"/>
          <w:color w:val="000000"/>
        </w:rPr>
        <w:t>,000 Gallons</w:t>
      </w:r>
      <w:r>
        <w:rPr>
          <w:rFonts w:ascii="Arial" w:hAnsi="Arial" w:cs="Arial"/>
          <w:color w:val="000000"/>
        </w:rPr>
        <w:t>)</w:t>
      </w:r>
      <w:r w:rsidRPr="009D54DC">
        <w:rPr>
          <w:rFonts w:ascii="Arial" w:hAnsi="Arial" w:cs="Arial"/>
          <w:color w:val="000000"/>
        </w:rPr>
        <w:tab/>
        <w:t>$/1000 gallons</w:t>
      </w:r>
      <w:r w:rsidRPr="009D54DC">
        <w:rPr>
          <w:rFonts w:ascii="Arial" w:hAnsi="Arial" w:cs="Arial"/>
          <w:color w:val="000000"/>
        </w:rPr>
        <w:tab/>
        <w:t xml:space="preserve">$ </w:t>
      </w:r>
      <w:r>
        <w:rPr>
          <w:rFonts w:ascii="Arial" w:hAnsi="Arial" w:cs="Arial"/>
          <w:color w:val="000000"/>
        </w:rPr>
        <w:t>6.04</w:t>
      </w:r>
      <w:r w:rsidRPr="009D54DC">
        <w:rPr>
          <w:rFonts w:ascii="Arial" w:hAnsi="Arial" w:cs="Arial"/>
          <w:color w:val="000000"/>
        </w:rPr>
        <w:tab/>
        <w:t>a,c,</w:t>
      </w:r>
      <w:r>
        <w:rPr>
          <w:rFonts w:ascii="Arial" w:hAnsi="Arial" w:cs="Arial"/>
          <w:color w:val="000000"/>
        </w:rPr>
        <w:t>i</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Wastewater Service</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Customer Charge</w:t>
      </w:r>
      <w:r w:rsidRPr="009D54DC">
        <w:rPr>
          <w:rFonts w:ascii="Arial" w:hAnsi="Arial" w:cs="Arial"/>
          <w:color w:val="000000"/>
        </w:rPr>
        <w:tab/>
        <w:t>$/bill rendered</w:t>
      </w:r>
      <w:r w:rsidRPr="009D54DC">
        <w:rPr>
          <w:rFonts w:ascii="Arial" w:hAnsi="Arial" w:cs="Arial"/>
          <w:color w:val="000000"/>
        </w:rPr>
        <w:tab/>
        <w:t xml:space="preserve">$ </w:t>
      </w:r>
      <w:r w:rsidR="00993723">
        <w:rPr>
          <w:rFonts w:ascii="Arial" w:hAnsi="Arial" w:cs="Arial"/>
          <w:color w:val="000000"/>
        </w:rPr>
        <w:t>9.50</w:t>
      </w:r>
      <w:r w:rsidRPr="009D54DC">
        <w:rPr>
          <w:rFonts w:ascii="Arial" w:hAnsi="Arial" w:cs="Arial"/>
          <w:color w:val="000000"/>
        </w:rPr>
        <w:tab/>
        <w:t>c</w:t>
      </w:r>
    </w:p>
    <w:p w:rsidR="00820561" w:rsidRPr="00A66C4A"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lang w:val="fr-FR"/>
        </w:rPr>
      </w:pPr>
      <w:r w:rsidRPr="009D54DC">
        <w:rPr>
          <w:rFonts w:ascii="Arial" w:hAnsi="Arial" w:cs="Arial"/>
          <w:color w:val="000000"/>
        </w:rPr>
        <w:tab/>
      </w:r>
      <w:r>
        <w:rPr>
          <w:rFonts w:ascii="Arial" w:hAnsi="Arial" w:cs="Arial"/>
          <w:color w:val="000000"/>
        </w:rPr>
        <w:tab/>
        <w:t>Wastewater Billing</w:t>
      </w:r>
      <w:r w:rsidRPr="009D54DC">
        <w:rPr>
          <w:rFonts w:ascii="Arial" w:hAnsi="Arial" w:cs="Arial"/>
          <w:color w:val="000000"/>
        </w:rPr>
        <w:tab/>
        <w:t>$/1000 gallons</w:t>
      </w:r>
      <w:r w:rsidRPr="009D54DC">
        <w:rPr>
          <w:rFonts w:ascii="Arial" w:hAnsi="Arial" w:cs="Arial"/>
          <w:color w:val="000000"/>
        </w:rPr>
        <w:tab/>
        <w:t xml:space="preserve">$ </w:t>
      </w:r>
      <w:r w:rsidR="00993723">
        <w:rPr>
          <w:rFonts w:ascii="Arial" w:hAnsi="Arial" w:cs="Arial"/>
          <w:color w:val="000000"/>
        </w:rPr>
        <w:t>6.65</w:t>
      </w:r>
      <w:r w:rsidRPr="009D54DC">
        <w:rPr>
          <w:rFonts w:ascii="Arial" w:hAnsi="Arial" w:cs="Arial"/>
          <w:color w:val="000000"/>
        </w:rPr>
        <w:tab/>
        <w:t>c,</w:t>
      </w:r>
      <w:r>
        <w:rPr>
          <w:rFonts w:ascii="Arial" w:hAnsi="Arial" w:cs="Arial"/>
          <w:color w:val="000000"/>
        </w:rPr>
        <w:t>g</w:t>
      </w:r>
      <w:r w:rsidRPr="009D54DC">
        <w:rPr>
          <w:rFonts w:ascii="Arial" w:hAnsi="Arial" w:cs="Arial"/>
          <w:color w:val="000000"/>
        </w:rPr>
        <w:t>,</w:t>
      </w:r>
      <w:r>
        <w:rPr>
          <w:rFonts w:ascii="Arial" w:hAnsi="Arial" w:cs="Arial"/>
          <w:color w:val="000000"/>
        </w:rPr>
        <w:t>k</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80"/>
        </w:rPr>
      </w:pPr>
      <w:r w:rsidRPr="009D54DC">
        <w:rPr>
          <w:rFonts w:ascii="Arial" w:hAnsi="Arial" w:cs="Arial"/>
          <w:b/>
          <w:color w:val="000080"/>
        </w:rPr>
        <w:t>Wastewater Service, Flat Rate</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Single</w:t>
      </w:r>
      <w:r>
        <w:rPr>
          <w:rFonts w:ascii="Arial" w:hAnsi="Arial" w:cs="Arial"/>
          <w:color w:val="000000"/>
        </w:rPr>
        <w:t>-</w:t>
      </w:r>
      <w:r w:rsidRPr="009D54DC">
        <w:rPr>
          <w:rFonts w:ascii="Arial" w:hAnsi="Arial" w:cs="Arial"/>
          <w:color w:val="000000"/>
        </w:rPr>
        <w:t>Family Usage Charge</w:t>
      </w:r>
      <w:r w:rsidRPr="009D54DC">
        <w:rPr>
          <w:rFonts w:ascii="Arial" w:hAnsi="Arial" w:cs="Arial"/>
          <w:color w:val="000000"/>
        </w:rPr>
        <w:tab/>
        <w:t>$/month</w:t>
      </w:r>
      <w:r w:rsidRPr="009D54DC">
        <w:rPr>
          <w:rFonts w:ascii="Arial" w:hAnsi="Arial" w:cs="Arial"/>
          <w:color w:val="000000"/>
        </w:rPr>
        <w:tab/>
        <w:t xml:space="preserve">$ </w:t>
      </w:r>
      <w:r w:rsidR="00993723">
        <w:rPr>
          <w:rFonts w:ascii="Arial" w:hAnsi="Arial" w:cs="Arial"/>
          <w:color w:val="000000"/>
        </w:rPr>
        <w:t>42</w:t>
      </w:r>
      <w:r>
        <w:rPr>
          <w:rFonts w:ascii="Arial" w:hAnsi="Arial" w:cs="Arial"/>
          <w:color w:val="000000"/>
        </w:rPr>
        <w:t>.75</w:t>
      </w:r>
      <w:r w:rsidRPr="009D54DC">
        <w:rPr>
          <w:rFonts w:ascii="Arial" w:hAnsi="Arial" w:cs="Arial"/>
          <w:color w:val="000000"/>
        </w:rPr>
        <w:tab/>
      </w:r>
      <w:r>
        <w:rPr>
          <w:rFonts w:ascii="Arial" w:hAnsi="Arial" w:cs="Arial"/>
          <w:color w:val="000000"/>
        </w:rPr>
        <w:t>c,h</w:t>
      </w:r>
    </w:p>
    <w:p w:rsidR="00820561" w:rsidRPr="009D54DC"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s="Arial"/>
          <w:color w:val="000000"/>
        </w:rPr>
      </w:pPr>
      <w:r w:rsidRPr="009D54DC">
        <w:rPr>
          <w:rFonts w:ascii="Arial" w:hAnsi="Arial" w:cs="Arial"/>
          <w:color w:val="000000"/>
        </w:rPr>
        <w:tab/>
        <w:t>Multi-Family Customer Charge</w:t>
      </w:r>
      <w:r w:rsidRPr="009D54DC">
        <w:rPr>
          <w:rFonts w:ascii="Arial" w:hAnsi="Arial" w:cs="Arial"/>
          <w:color w:val="000000"/>
        </w:rPr>
        <w:tab/>
        <w:t>$/bill rendered</w:t>
      </w:r>
      <w:r w:rsidRPr="009D54DC">
        <w:rPr>
          <w:rFonts w:ascii="Arial" w:hAnsi="Arial" w:cs="Arial"/>
          <w:color w:val="000000"/>
        </w:rPr>
        <w:tab/>
        <w:t>$</w:t>
      </w:r>
      <w:r w:rsidR="00993723">
        <w:rPr>
          <w:rFonts w:ascii="Arial" w:hAnsi="Arial" w:cs="Arial"/>
          <w:color w:val="000000"/>
        </w:rPr>
        <w:t xml:space="preserve"> 9.50</w:t>
      </w:r>
      <w:r w:rsidRPr="009D54DC">
        <w:rPr>
          <w:rFonts w:ascii="Arial" w:hAnsi="Arial" w:cs="Arial"/>
          <w:color w:val="000000"/>
        </w:rPr>
        <w:tab/>
      </w:r>
      <w:r>
        <w:rPr>
          <w:rFonts w:ascii="Arial" w:hAnsi="Arial" w:cs="Arial"/>
          <w:color w:val="000000"/>
        </w:rPr>
        <w:t>c,h</w:t>
      </w:r>
    </w:p>
    <w:p w:rsidR="00820561"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olor w:val="000000"/>
        </w:rPr>
      </w:pPr>
      <w:r w:rsidRPr="009D54DC">
        <w:rPr>
          <w:rFonts w:ascii="Arial" w:hAnsi="Arial" w:cs="Arial"/>
          <w:color w:val="000000"/>
        </w:rPr>
        <w:tab/>
        <w:t>Multi-Family U</w:t>
      </w:r>
      <w:r>
        <w:rPr>
          <w:rFonts w:ascii="Arial" w:hAnsi="Arial" w:cs="Arial"/>
          <w:color w:val="000000"/>
        </w:rPr>
        <w:t>nit</w:t>
      </w:r>
      <w:r w:rsidRPr="009D54DC">
        <w:rPr>
          <w:rFonts w:ascii="Arial" w:hAnsi="Arial" w:cs="Arial"/>
          <w:color w:val="000000"/>
        </w:rPr>
        <w:t xml:space="preserve"> Charge</w:t>
      </w:r>
      <w:r w:rsidRPr="009D54DC">
        <w:rPr>
          <w:rFonts w:ascii="Arial" w:hAnsi="Arial" w:cs="Arial"/>
          <w:color w:val="000000"/>
        </w:rPr>
        <w:tab/>
        <w:t>$/1000 gallons</w:t>
      </w:r>
      <w:r w:rsidRPr="009D54DC">
        <w:rPr>
          <w:rFonts w:ascii="Arial" w:hAnsi="Arial" w:cs="Arial"/>
          <w:color w:val="000000"/>
        </w:rPr>
        <w:tab/>
        <w:t xml:space="preserve">$ </w:t>
      </w:r>
      <w:r w:rsidR="00993723">
        <w:rPr>
          <w:rFonts w:ascii="Arial" w:hAnsi="Arial" w:cs="Arial"/>
          <w:color w:val="000000"/>
        </w:rPr>
        <w:t>6.65</w:t>
      </w:r>
      <w:r>
        <w:rPr>
          <w:rFonts w:ascii="Arial" w:hAnsi="Arial"/>
          <w:color w:val="000000"/>
        </w:rPr>
        <w:tab/>
        <w:t>c,h,l</w:t>
      </w:r>
    </w:p>
    <w:p w:rsidR="00820561"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olor w:val="000080"/>
        </w:rPr>
      </w:pPr>
      <w:r>
        <w:rPr>
          <w:rFonts w:ascii="Arial" w:hAnsi="Arial"/>
          <w:b/>
          <w:color w:val="000080"/>
        </w:rPr>
        <w:t>Reclaimed Water Service</w:t>
      </w:r>
    </w:p>
    <w:p w:rsidR="00820561"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olor w:val="000000"/>
        </w:rPr>
      </w:pPr>
      <w:r>
        <w:rPr>
          <w:rFonts w:ascii="Arial" w:hAnsi="Arial"/>
          <w:color w:val="000000"/>
        </w:rPr>
        <w:tab/>
        <w:t>Custom</w:t>
      </w:r>
      <w:r w:rsidR="00993723">
        <w:rPr>
          <w:rFonts w:ascii="Arial" w:hAnsi="Arial"/>
          <w:color w:val="000000"/>
        </w:rPr>
        <w:t>er Charge</w:t>
      </w:r>
      <w:r w:rsidR="00993723">
        <w:rPr>
          <w:rFonts w:ascii="Arial" w:hAnsi="Arial"/>
          <w:color w:val="000000"/>
        </w:rPr>
        <w:tab/>
        <w:t>$/bill rendered</w:t>
      </w:r>
      <w:r w:rsidR="00993723">
        <w:rPr>
          <w:rFonts w:ascii="Arial" w:hAnsi="Arial"/>
          <w:color w:val="000000"/>
        </w:rPr>
        <w:tab/>
        <w:t>$ 9.50</w:t>
      </w:r>
      <w:r>
        <w:rPr>
          <w:rFonts w:ascii="Arial" w:hAnsi="Arial"/>
          <w:color w:val="000000"/>
        </w:rPr>
        <w:tab/>
        <w:t>c</w:t>
      </w:r>
    </w:p>
    <w:p w:rsidR="00820561" w:rsidRPr="00156251" w:rsidRDefault="00820561" w:rsidP="00820561">
      <w:pPr>
        <w:shd w:val="clear" w:color="auto" w:fill="D9D9D9" w:themeFill="background1" w:themeFillShade="D9"/>
        <w:tabs>
          <w:tab w:val="left" w:pos="360"/>
          <w:tab w:val="left" w:pos="720"/>
          <w:tab w:val="left" w:pos="4680"/>
          <w:tab w:val="left" w:pos="7110"/>
          <w:tab w:val="center" w:pos="7470"/>
          <w:tab w:val="left" w:pos="9720"/>
          <w:tab w:val="left" w:pos="11100"/>
        </w:tabs>
        <w:rPr>
          <w:rFonts w:ascii="Arial" w:hAnsi="Arial"/>
          <w:color w:val="000000"/>
        </w:rPr>
      </w:pPr>
      <w:r>
        <w:rPr>
          <w:rFonts w:ascii="Arial" w:hAnsi="Arial"/>
          <w:color w:val="000000"/>
        </w:rPr>
        <w:tab/>
      </w:r>
      <w:r>
        <w:rPr>
          <w:rFonts w:ascii="Arial" w:hAnsi="Arial"/>
          <w:color w:val="000000"/>
        </w:rPr>
        <w:tab/>
        <w:t xml:space="preserve">Water </w:t>
      </w:r>
      <w:r w:rsidR="00993723">
        <w:rPr>
          <w:rFonts w:ascii="Arial" w:hAnsi="Arial"/>
          <w:color w:val="000000"/>
        </w:rPr>
        <w:t>Billing</w:t>
      </w:r>
      <w:r w:rsidR="00993723">
        <w:rPr>
          <w:rFonts w:ascii="Arial" w:hAnsi="Arial"/>
          <w:color w:val="000000"/>
        </w:rPr>
        <w:tab/>
        <w:t>$/1000 gallons</w:t>
      </w:r>
      <w:r w:rsidR="00993723">
        <w:rPr>
          <w:rFonts w:ascii="Arial" w:hAnsi="Arial"/>
          <w:color w:val="000000"/>
        </w:rPr>
        <w:tab/>
        <w:t>$ 1.24</w:t>
      </w:r>
      <w:r>
        <w:rPr>
          <w:rFonts w:ascii="Arial" w:hAnsi="Arial"/>
          <w:color w:val="000000"/>
        </w:rPr>
        <w:tab/>
        <w:t>c</w:t>
      </w:r>
    </w:p>
    <w:p w:rsidR="00927FBD" w:rsidRPr="00BC15B7" w:rsidRDefault="00927FBD" w:rsidP="00927FBD">
      <w:pPr>
        <w:pStyle w:val="BodyTextIndent"/>
        <w:pBdr>
          <w:between w:val="single" w:sz="4" w:space="1" w:color="auto"/>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color w:val="000000"/>
          <w:sz w:val="12"/>
        </w:rPr>
      </w:pPr>
    </w:p>
    <w:p w:rsidR="00E316E3" w:rsidRPr="00B337E5" w:rsidRDefault="00953CA6" w:rsidP="00D60376">
      <w:pPr>
        <w:pStyle w:val="BodyTextIndent"/>
        <w:pBdr>
          <w:top w:val="single" w:sz="4" w:space="1" w:color="000080"/>
          <w:left w:val="single" w:sz="4" w:space="9" w:color="000080"/>
          <w:right w:val="single" w:sz="4" w:space="4" w:color="000080"/>
          <w:between w:val="single" w:sz="4" w:space="1" w:color="auto"/>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b/>
          <w:color w:val="000080"/>
          <w:sz w:val="20"/>
        </w:rPr>
      </w:pPr>
      <w:r w:rsidRPr="00B337E5">
        <w:rPr>
          <w:rFonts w:ascii="Arial" w:hAnsi="Arial"/>
          <w:b/>
          <w:color w:val="000080"/>
          <w:sz w:val="20"/>
        </w:rPr>
        <w:t>NOTES:</w:t>
      </w:r>
    </w:p>
    <w:p w:rsidR="00156251" w:rsidRPr="00EC024E" w:rsidRDefault="00156251" w:rsidP="00D60376">
      <w:p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8"/>
          <w:szCs w:val="8"/>
        </w:rPr>
      </w:pPr>
    </w:p>
    <w:p w:rsidR="00E316E3" w:rsidRPr="00870614" w:rsidRDefault="00E316E3"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 xml:space="preserve">Subject to a 10% City (for customers inside the City of Gainesville) or a 10% County (for customers outside any city) utility tax. </w:t>
      </w:r>
    </w:p>
    <w:p w:rsidR="00E316E3" w:rsidRPr="00870614" w:rsidRDefault="00E316E3"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Subject to a 10% City surcharge (for customers outside the City of Gainesville).</w:t>
      </w:r>
    </w:p>
    <w:p w:rsidR="00E316E3" w:rsidRPr="00870614" w:rsidRDefault="00E316E3"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Subject to a 25% City surcharge (for customers outside the City of Gainesville).</w:t>
      </w:r>
    </w:p>
    <w:p w:rsidR="00E316E3" w:rsidRPr="00870614" w:rsidRDefault="00E316E3"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Subject to a 2.5% Florida Gross Receipts Tax adjustment [multiply the charge by 0.025641]; applies to all customers.</w:t>
      </w:r>
    </w:p>
    <w:p w:rsidR="00E316E3" w:rsidRPr="00870614" w:rsidRDefault="00EA66F4"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 xml:space="preserve">Subject to a 2.5% Florida Gross Receipts Tax, determined by the number of therms multiplied </w:t>
      </w:r>
      <w:r w:rsidR="005807C9">
        <w:rPr>
          <w:rFonts w:ascii="Arial" w:hAnsi="Arial" w:cs="Arial"/>
          <w:sz w:val="16"/>
          <w:szCs w:val="16"/>
        </w:rPr>
        <w:t>0.0559</w:t>
      </w:r>
      <w:bookmarkStart w:id="0" w:name="_GoBack"/>
      <w:bookmarkEnd w:id="0"/>
      <w:r w:rsidR="00CB1C1D">
        <w:rPr>
          <w:rFonts w:ascii="Arial" w:hAnsi="Arial" w:cs="Arial"/>
          <w:sz w:val="16"/>
          <w:szCs w:val="16"/>
        </w:rPr>
        <w:t xml:space="preserve"> (July 2021</w:t>
      </w:r>
      <w:r w:rsidR="00820561">
        <w:rPr>
          <w:rFonts w:ascii="Arial" w:hAnsi="Arial" w:cs="Arial"/>
          <w:sz w:val="16"/>
          <w:szCs w:val="16"/>
        </w:rPr>
        <w:t xml:space="preserve"> - June 202</w:t>
      </w:r>
      <w:r w:rsidR="00CB1C1D">
        <w:rPr>
          <w:rFonts w:ascii="Arial" w:hAnsi="Arial" w:cs="Arial"/>
          <w:sz w:val="16"/>
          <w:szCs w:val="16"/>
        </w:rPr>
        <w:t>2</w:t>
      </w:r>
      <w:r w:rsidR="00A15C64">
        <w:rPr>
          <w:rFonts w:ascii="Arial" w:hAnsi="Arial" w:cs="Arial"/>
          <w:sz w:val="16"/>
          <w:szCs w:val="16"/>
        </w:rPr>
        <w:t>)</w:t>
      </w:r>
      <w:r w:rsidR="00A66C4A">
        <w:rPr>
          <w:rFonts w:ascii="Arial" w:hAnsi="Arial" w:cs="Arial"/>
          <w:sz w:val="16"/>
          <w:szCs w:val="16"/>
        </w:rPr>
        <w:t>.</w:t>
      </w:r>
    </w:p>
    <w:p w:rsidR="00E316E3" w:rsidRPr="00870614" w:rsidRDefault="00E316E3" w:rsidP="00D60376">
      <w:pPr>
        <w:numPr>
          <w:ilvl w:val="0"/>
          <w:numId w:val="10"/>
        </w:numPr>
        <w:pBdr>
          <w:top w:val="single" w:sz="4" w:space="1" w:color="000080"/>
          <w:left w:val="single" w:sz="4" w:space="9" w:color="000080"/>
          <w:right w:val="single" w:sz="4" w:space="4" w:color="000080"/>
        </w:pBdr>
        <w:tabs>
          <w:tab w:val="left" w:pos="720"/>
        </w:tabs>
        <w:suppressAutoHyphens/>
        <w:ind w:left="461" w:right="187" w:hanging="274"/>
        <w:rPr>
          <w:rFonts w:ascii="Arial" w:hAnsi="Arial" w:cs="Arial"/>
          <w:sz w:val="16"/>
          <w:szCs w:val="16"/>
        </w:rPr>
      </w:pPr>
      <w:r w:rsidRPr="00870614">
        <w:rPr>
          <w:rFonts w:ascii="Arial" w:hAnsi="Arial" w:cs="Arial"/>
          <w:sz w:val="16"/>
          <w:szCs w:val="16"/>
        </w:rPr>
        <w:t xml:space="preserve">The </w:t>
      </w:r>
      <w:r w:rsidR="00D636CC" w:rsidRPr="00870614">
        <w:rPr>
          <w:rFonts w:ascii="Arial" w:hAnsi="Arial" w:cs="Arial"/>
          <w:sz w:val="16"/>
          <w:szCs w:val="16"/>
        </w:rPr>
        <w:t>Fuel Adjustment and Purchased Gas Adjustment are</w:t>
      </w:r>
      <w:r w:rsidRPr="00870614">
        <w:rPr>
          <w:rFonts w:ascii="Arial" w:hAnsi="Arial" w:cs="Arial"/>
          <w:sz w:val="16"/>
          <w:szCs w:val="16"/>
        </w:rPr>
        <w:t xml:space="preserve"> exempt from utility tax and surcharge.</w:t>
      </w:r>
    </w:p>
    <w:p w:rsidR="00E316E3" w:rsidRPr="00870614" w:rsidRDefault="00E316E3" w:rsidP="00D60376">
      <w:pPr>
        <w:pStyle w:val="BodyTextIndent"/>
        <w:numPr>
          <w:ilvl w:val="0"/>
          <w:numId w:val="10"/>
        </w:numPr>
        <w:pBdr>
          <w:top w:val="single" w:sz="4" w:space="1" w:color="000080"/>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Cs w:val="16"/>
        </w:rPr>
      </w:pPr>
      <w:r w:rsidRPr="00870614">
        <w:rPr>
          <w:rFonts w:ascii="Arial" w:hAnsi="Arial" w:cs="Arial"/>
          <w:szCs w:val="16"/>
        </w:rPr>
        <w:t xml:space="preserve">Based on actual water </w:t>
      </w:r>
      <w:r w:rsidR="000B4812">
        <w:rPr>
          <w:rFonts w:ascii="Arial" w:hAnsi="Arial" w:cs="Arial"/>
          <w:szCs w:val="16"/>
        </w:rPr>
        <w:t xml:space="preserve">usage </w:t>
      </w:r>
      <w:r w:rsidRPr="00870614">
        <w:rPr>
          <w:rFonts w:ascii="Arial" w:hAnsi="Arial" w:cs="Arial"/>
          <w:szCs w:val="16"/>
        </w:rPr>
        <w:t>rounded to the nearest 1,000 gallons</w:t>
      </w:r>
      <w:r w:rsidR="000B4812">
        <w:rPr>
          <w:rFonts w:ascii="Arial" w:hAnsi="Arial" w:cs="Arial"/>
          <w:szCs w:val="16"/>
        </w:rPr>
        <w:t xml:space="preserve"> with a 12kg cap</w:t>
      </w:r>
      <w:r w:rsidRPr="00870614">
        <w:rPr>
          <w:rFonts w:ascii="Arial" w:hAnsi="Arial" w:cs="Arial"/>
          <w:szCs w:val="16"/>
        </w:rPr>
        <w:t>.</w:t>
      </w:r>
    </w:p>
    <w:p w:rsidR="00E316E3" w:rsidRPr="00870614" w:rsidRDefault="00E316E3" w:rsidP="00D60376">
      <w:pPr>
        <w:pStyle w:val="BodyTextIndent"/>
        <w:numPr>
          <w:ilvl w:val="0"/>
          <w:numId w:val="10"/>
        </w:numPr>
        <w:pBdr>
          <w:top w:val="single" w:sz="4" w:space="1" w:color="000080"/>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Cs w:val="16"/>
        </w:rPr>
      </w:pPr>
      <w:r w:rsidRPr="00870614">
        <w:rPr>
          <w:rFonts w:ascii="Arial" w:hAnsi="Arial" w:cs="Arial"/>
          <w:szCs w:val="16"/>
        </w:rPr>
        <w:t>For customers on non-metered private wells discharging to the wastewater system.</w:t>
      </w:r>
    </w:p>
    <w:p w:rsidR="00E316E3" w:rsidRPr="00870614" w:rsidRDefault="00CE6D1A" w:rsidP="00D60376">
      <w:pPr>
        <w:pStyle w:val="BodyTextIndent"/>
        <w:numPr>
          <w:ilvl w:val="0"/>
          <w:numId w:val="10"/>
        </w:numPr>
        <w:pBdr>
          <w:top w:val="single" w:sz="4" w:space="1" w:color="000080"/>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Cs w:val="16"/>
        </w:rPr>
      </w:pPr>
      <w:r w:rsidRPr="00FB2C18">
        <w:rPr>
          <w:rFonts w:ascii="Arial" w:hAnsi="Arial" w:cs="Arial"/>
          <w:szCs w:val="16"/>
        </w:rPr>
        <w:t>Some residential customers may be subject to local city franchise fees in addition to utility surcharges and taxes</w:t>
      </w:r>
      <w:r w:rsidR="00E316E3" w:rsidRPr="00870614">
        <w:rPr>
          <w:rFonts w:ascii="Arial" w:hAnsi="Arial" w:cs="Arial"/>
          <w:szCs w:val="16"/>
        </w:rPr>
        <w:t>.</w:t>
      </w:r>
    </w:p>
    <w:p w:rsidR="0001153E" w:rsidRPr="00EC024E" w:rsidRDefault="0001153E" w:rsidP="00FB2C18">
      <w:pPr>
        <w:pStyle w:val="BodyTextIndent"/>
        <w:numPr>
          <w:ilvl w:val="0"/>
          <w:numId w:val="10"/>
        </w:numPr>
        <w:pBdr>
          <w:top w:val="single" w:sz="4" w:space="1" w:color="000080"/>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 w:val="14"/>
          <w:szCs w:val="16"/>
        </w:rPr>
      </w:pPr>
      <w:r>
        <w:rPr>
          <w:rFonts w:ascii="Arial" w:hAnsi="Arial" w:cs="Arial"/>
          <w:szCs w:val="16"/>
        </w:rPr>
        <w:t>Customer charge varies based on meter size</w:t>
      </w:r>
      <w:r w:rsidR="00FB2C18" w:rsidRPr="00FB2C18">
        <w:rPr>
          <w:rFonts w:ascii="Arial" w:hAnsi="Arial" w:cs="Arial"/>
          <w:szCs w:val="16"/>
        </w:rPr>
        <w:t>:</w:t>
      </w:r>
      <w:r w:rsidR="00FB2C18" w:rsidRPr="00A66C4A">
        <w:rPr>
          <w:rFonts w:ascii="Arial" w:hAnsi="Arial" w:cs="Arial"/>
          <w:sz w:val="14"/>
          <w:szCs w:val="16"/>
        </w:rPr>
        <w:t xml:space="preserve"> 0.625”-$9.45, 0.75”-$9.45,</w:t>
      </w:r>
      <w:r w:rsidR="00A66C4A" w:rsidRPr="00A66C4A">
        <w:rPr>
          <w:rFonts w:ascii="Arial" w:hAnsi="Arial" w:cs="Arial"/>
          <w:sz w:val="14"/>
          <w:szCs w:val="16"/>
        </w:rPr>
        <w:t xml:space="preserve"> </w:t>
      </w:r>
      <w:r w:rsidR="00FB2C18" w:rsidRPr="00A66C4A">
        <w:rPr>
          <w:rFonts w:ascii="Arial" w:hAnsi="Arial" w:cs="Arial"/>
          <w:sz w:val="14"/>
          <w:szCs w:val="16"/>
        </w:rPr>
        <w:t>1”-$9.65,</w:t>
      </w:r>
      <w:r w:rsidR="00A66C4A" w:rsidRPr="00A66C4A">
        <w:rPr>
          <w:rFonts w:ascii="Arial" w:hAnsi="Arial" w:cs="Arial"/>
          <w:sz w:val="14"/>
          <w:szCs w:val="16"/>
        </w:rPr>
        <w:t xml:space="preserve"> </w:t>
      </w:r>
      <w:r w:rsidR="00FB2C18" w:rsidRPr="00A66C4A">
        <w:rPr>
          <w:rFonts w:ascii="Arial" w:hAnsi="Arial" w:cs="Arial"/>
          <w:sz w:val="14"/>
          <w:szCs w:val="16"/>
        </w:rPr>
        <w:t>1.5”-$12.50, 2”-$20.0</w:t>
      </w:r>
      <w:r w:rsidR="00B61544">
        <w:rPr>
          <w:rFonts w:ascii="Arial" w:hAnsi="Arial" w:cs="Arial"/>
          <w:sz w:val="14"/>
          <w:szCs w:val="16"/>
        </w:rPr>
        <w:t>0, 3”-$74</w:t>
      </w:r>
      <w:r w:rsidR="00FB2C18" w:rsidRPr="00A66C4A">
        <w:rPr>
          <w:rFonts w:ascii="Arial" w:hAnsi="Arial" w:cs="Arial"/>
          <w:sz w:val="14"/>
          <w:szCs w:val="16"/>
        </w:rPr>
        <w:t>,</w:t>
      </w:r>
      <w:r w:rsidR="00A66C4A" w:rsidRPr="00A66C4A">
        <w:rPr>
          <w:rFonts w:ascii="Arial" w:hAnsi="Arial" w:cs="Arial"/>
          <w:sz w:val="14"/>
          <w:szCs w:val="16"/>
        </w:rPr>
        <w:t xml:space="preserve"> </w:t>
      </w:r>
      <w:r w:rsidR="00FB2C18" w:rsidRPr="00A66C4A">
        <w:rPr>
          <w:rFonts w:ascii="Arial" w:hAnsi="Arial" w:cs="Arial"/>
          <w:sz w:val="14"/>
          <w:szCs w:val="16"/>
        </w:rPr>
        <w:t>4”-$100,</w:t>
      </w:r>
      <w:r w:rsidR="00A66C4A" w:rsidRPr="00A66C4A">
        <w:rPr>
          <w:rFonts w:ascii="Arial" w:hAnsi="Arial" w:cs="Arial"/>
          <w:sz w:val="14"/>
          <w:szCs w:val="16"/>
        </w:rPr>
        <w:t xml:space="preserve"> </w:t>
      </w:r>
      <w:r w:rsidR="00FB2C18" w:rsidRPr="00A66C4A">
        <w:rPr>
          <w:rFonts w:ascii="Arial" w:hAnsi="Arial" w:cs="Arial"/>
          <w:sz w:val="14"/>
          <w:szCs w:val="16"/>
        </w:rPr>
        <w:t>6”-$140,</w:t>
      </w:r>
      <w:r w:rsidR="00A66C4A" w:rsidRPr="00A66C4A">
        <w:rPr>
          <w:rFonts w:ascii="Arial" w:hAnsi="Arial" w:cs="Arial"/>
          <w:sz w:val="14"/>
          <w:szCs w:val="16"/>
        </w:rPr>
        <w:t xml:space="preserve"> </w:t>
      </w:r>
      <w:r w:rsidR="00FB2C18" w:rsidRPr="00A66C4A">
        <w:rPr>
          <w:rFonts w:ascii="Arial" w:hAnsi="Arial" w:cs="Arial"/>
          <w:sz w:val="14"/>
          <w:szCs w:val="16"/>
        </w:rPr>
        <w:t>8”-$200,</w:t>
      </w:r>
      <w:r w:rsidR="00A66C4A" w:rsidRPr="00A66C4A">
        <w:rPr>
          <w:rFonts w:ascii="Arial" w:hAnsi="Arial" w:cs="Arial"/>
          <w:sz w:val="14"/>
          <w:szCs w:val="16"/>
        </w:rPr>
        <w:t xml:space="preserve"> </w:t>
      </w:r>
      <w:r w:rsidR="00FB2C18" w:rsidRPr="00A66C4A">
        <w:rPr>
          <w:rFonts w:ascii="Arial" w:hAnsi="Arial" w:cs="Arial"/>
          <w:sz w:val="14"/>
          <w:szCs w:val="16"/>
        </w:rPr>
        <w:t>10”-$275</w:t>
      </w:r>
    </w:p>
    <w:p w:rsidR="00E316E3" w:rsidRDefault="00E316E3" w:rsidP="00FB2C18">
      <w:pPr>
        <w:pStyle w:val="BodyTextIndent"/>
        <w:numPr>
          <w:ilvl w:val="0"/>
          <w:numId w:val="10"/>
        </w:numPr>
        <w:pBdr>
          <w:top w:val="single" w:sz="4" w:space="1" w:color="000080"/>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Cs w:val="16"/>
        </w:rPr>
      </w:pPr>
      <w:r w:rsidRPr="00870614">
        <w:rPr>
          <w:rFonts w:ascii="Arial" w:hAnsi="Arial" w:cs="Arial"/>
          <w:szCs w:val="16"/>
        </w:rPr>
        <w:t>Customers with meters installed for irrigation or reclaimed water service shall be</w:t>
      </w:r>
      <w:r w:rsidR="000B4812">
        <w:rPr>
          <w:rFonts w:ascii="Arial" w:hAnsi="Arial" w:cs="Arial"/>
          <w:szCs w:val="16"/>
        </w:rPr>
        <w:t xml:space="preserve"> billed wastewater charges on 100</w:t>
      </w:r>
      <w:r w:rsidRPr="00870614">
        <w:rPr>
          <w:rFonts w:ascii="Arial" w:hAnsi="Arial" w:cs="Arial"/>
          <w:szCs w:val="16"/>
        </w:rPr>
        <w:t>% of actual water consumption through the domestic meter.</w:t>
      </w:r>
      <w:r w:rsidR="000B4812">
        <w:rPr>
          <w:rFonts w:ascii="Arial" w:hAnsi="Arial" w:cs="Arial"/>
          <w:szCs w:val="16"/>
        </w:rPr>
        <w:t xml:space="preserve"> Up to 12kg.</w:t>
      </w:r>
    </w:p>
    <w:p w:rsidR="00D60376" w:rsidRDefault="000B4812" w:rsidP="00FB2C18">
      <w:pPr>
        <w:pStyle w:val="BodyTextIndent"/>
        <w:numPr>
          <w:ilvl w:val="0"/>
          <w:numId w:val="10"/>
        </w:numPr>
        <w:pBdr>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szCs w:val="16"/>
        </w:rPr>
      </w:pPr>
      <w:r>
        <w:rPr>
          <w:rFonts w:ascii="Arial" w:hAnsi="Arial" w:cs="Arial"/>
          <w:szCs w:val="16"/>
        </w:rPr>
        <w:t>Based on 100</w:t>
      </w:r>
      <w:r w:rsidR="00D60376" w:rsidRPr="00D60376">
        <w:rPr>
          <w:rFonts w:ascii="Arial" w:hAnsi="Arial" w:cs="Arial"/>
          <w:szCs w:val="16"/>
        </w:rPr>
        <w:t xml:space="preserve">% of </w:t>
      </w:r>
      <w:r w:rsidR="001F0485">
        <w:rPr>
          <w:rFonts w:ascii="Arial" w:hAnsi="Arial" w:cs="Arial"/>
          <w:szCs w:val="16"/>
        </w:rPr>
        <w:t>metered water usage</w:t>
      </w:r>
      <w:r w:rsidR="007B6B29">
        <w:rPr>
          <w:rFonts w:ascii="Arial" w:hAnsi="Arial" w:cs="Arial"/>
          <w:szCs w:val="16"/>
        </w:rPr>
        <w:t>.</w:t>
      </w:r>
    </w:p>
    <w:p w:rsidR="00EC024E" w:rsidRPr="00EC024E" w:rsidRDefault="00EC024E" w:rsidP="00EC024E">
      <w:pPr>
        <w:pStyle w:val="BodyTextIndent"/>
        <w:pBdr>
          <w:left w:val="single" w:sz="4" w:space="9" w:color="000080"/>
          <w:right w:val="single" w:sz="4" w:space="4" w:color="000080"/>
        </w:pBdr>
        <w:tabs>
          <w:tab w:val="clear" w:pos="-533"/>
          <w:tab w:val="clear" w:pos="187"/>
          <w:tab w:val="clear" w:pos="450"/>
          <w:tab w:val="clear" w:pos="5083"/>
          <w:tab w:val="clear" w:pos="7099"/>
          <w:tab w:val="clear" w:pos="8251"/>
          <w:tab w:val="clear" w:pos="9691"/>
          <w:tab w:val="left" w:pos="720"/>
        </w:tabs>
        <w:ind w:left="187" w:right="187" w:firstLine="0"/>
        <w:rPr>
          <w:rFonts w:ascii="Arial" w:hAnsi="Arial" w:cs="Arial"/>
          <w:sz w:val="8"/>
          <w:szCs w:val="16"/>
        </w:rPr>
      </w:pPr>
    </w:p>
    <w:p w:rsidR="00A15C64" w:rsidRDefault="005807C9" w:rsidP="00D60376">
      <w:pPr>
        <w:pStyle w:val="BodyTextIndent"/>
        <w:pBdr>
          <w:left w:val="single" w:sz="4" w:space="9" w:color="000080"/>
          <w:bottom w:val="single" w:sz="4" w:space="6"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i/>
          <w:color w:val="800000"/>
          <w:sz w:val="7"/>
          <w:szCs w:val="13"/>
        </w:rPr>
      </w:pPr>
      <w:r>
        <w:rPr>
          <w:rFonts w:ascii="Arial" w:hAnsi="Arial" w:cs="Arial"/>
          <w:i/>
          <w:color w:val="800000"/>
          <w:sz w:val="7"/>
          <w:szCs w:val="13"/>
        </w:rPr>
        <w:pict>
          <v:rect id="_x0000_i1025" style="width:0;height:1.5pt" o:hralign="center" o:hrstd="t" o:hr="t" fillcolor="gray" stroked="f"/>
        </w:pict>
      </w:r>
    </w:p>
    <w:p w:rsidR="001F79B6" w:rsidRDefault="001F79B6" w:rsidP="00D60376">
      <w:pPr>
        <w:pStyle w:val="BodyTextIndent"/>
        <w:pBdr>
          <w:left w:val="single" w:sz="4" w:space="9" w:color="000080"/>
          <w:bottom w:val="single" w:sz="4" w:space="6" w:color="000080"/>
          <w:right w:val="single" w:sz="4" w:space="4" w:color="000080"/>
        </w:pBdr>
        <w:tabs>
          <w:tab w:val="clear" w:pos="-533"/>
          <w:tab w:val="clear" w:pos="187"/>
          <w:tab w:val="clear" w:pos="450"/>
          <w:tab w:val="clear" w:pos="5083"/>
          <w:tab w:val="clear" w:pos="7099"/>
          <w:tab w:val="clear" w:pos="8251"/>
          <w:tab w:val="clear" w:pos="9691"/>
          <w:tab w:val="left" w:pos="720"/>
        </w:tabs>
        <w:ind w:left="461" w:right="187" w:hanging="274"/>
        <w:rPr>
          <w:rFonts w:ascii="Arial" w:hAnsi="Arial" w:cs="Arial"/>
          <w:i/>
          <w:color w:val="800000"/>
          <w:sz w:val="15"/>
          <w:szCs w:val="13"/>
        </w:rPr>
      </w:pPr>
      <w:r w:rsidRPr="00C63268">
        <w:rPr>
          <w:rFonts w:ascii="Arial" w:hAnsi="Arial" w:cs="Arial"/>
          <w:i/>
          <w:color w:val="800000"/>
          <w:sz w:val="15"/>
          <w:szCs w:val="13"/>
        </w:rPr>
        <w:t>This fact sheet is meant as a summary overview of GRU’s residential electric, natural gas, LP ga</w:t>
      </w:r>
      <w:r w:rsidR="00B84D3D">
        <w:rPr>
          <w:rFonts w:ascii="Arial" w:hAnsi="Arial" w:cs="Arial"/>
          <w:i/>
          <w:color w:val="800000"/>
          <w:sz w:val="15"/>
          <w:szCs w:val="13"/>
        </w:rPr>
        <w:t xml:space="preserve">s, water, and wastewater rates. </w:t>
      </w:r>
      <w:r w:rsidRPr="00C63268">
        <w:rPr>
          <w:rFonts w:ascii="Arial" w:hAnsi="Arial" w:cs="Arial"/>
          <w:i/>
          <w:color w:val="800000"/>
          <w:sz w:val="15"/>
          <w:szCs w:val="13"/>
        </w:rPr>
        <w:t>It does not replace</w:t>
      </w:r>
      <w:r w:rsidR="00722016" w:rsidRPr="00C63268">
        <w:rPr>
          <w:rFonts w:ascii="Arial" w:hAnsi="Arial" w:cs="Arial"/>
          <w:i/>
          <w:color w:val="800000"/>
          <w:sz w:val="15"/>
          <w:szCs w:val="13"/>
        </w:rPr>
        <w:t xml:space="preserve"> the</w:t>
      </w:r>
      <w:r w:rsidRPr="00C63268">
        <w:rPr>
          <w:rFonts w:ascii="Arial" w:hAnsi="Arial" w:cs="Arial"/>
          <w:i/>
          <w:color w:val="800000"/>
          <w:sz w:val="15"/>
          <w:szCs w:val="13"/>
        </w:rPr>
        <w:t xml:space="preserve"> GRU </w:t>
      </w:r>
      <w:r w:rsidR="00722016" w:rsidRPr="00C63268">
        <w:rPr>
          <w:rFonts w:ascii="Arial" w:hAnsi="Arial" w:cs="Arial"/>
          <w:i/>
          <w:color w:val="800000"/>
          <w:sz w:val="15"/>
          <w:szCs w:val="13"/>
        </w:rPr>
        <w:t>rates in the Gainesville Code of Ordinances</w:t>
      </w:r>
      <w:r w:rsidRPr="00C63268">
        <w:rPr>
          <w:rFonts w:ascii="Arial" w:hAnsi="Arial" w:cs="Arial"/>
          <w:i/>
          <w:color w:val="800000"/>
          <w:sz w:val="15"/>
          <w:szCs w:val="13"/>
        </w:rPr>
        <w:t xml:space="preserve">. If there are differences between this </w:t>
      </w:r>
      <w:r w:rsidR="00722016" w:rsidRPr="00C63268">
        <w:rPr>
          <w:rFonts w:ascii="Arial" w:hAnsi="Arial" w:cs="Arial"/>
          <w:i/>
          <w:color w:val="800000"/>
          <w:sz w:val="15"/>
          <w:szCs w:val="13"/>
        </w:rPr>
        <w:t xml:space="preserve">representation </w:t>
      </w:r>
      <w:r w:rsidRPr="00C63268">
        <w:rPr>
          <w:rFonts w:ascii="Arial" w:hAnsi="Arial" w:cs="Arial"/>
          <w:i/>
          <w:color w:val="800000"/>
          <w:sz w:val="15"/>
          <w:szCs w:val="13"/>
        </w:rPr>
        <w:t xml:space="preserve">and the </w:t>
      </w:r>
      <w:r w:rsidR="00722016" w:rsidRPr="00C63268">
        <w:rPr>
          <w:rFonts w:ascii="Arial" w:hAnsi="Arial" w:cs="Arial"/>
          <w:i/>
          <w:color w:val="800000"/>
          <w:sz w:val="15"/>
          <w:szCs w:val="13"/>
        </w:rPr>
        <w:t>Ordinance</w:t>
      </w:r>
      <w:r w:rsidRPr="00C63268">
        <w:rPr>
          <w:rFonts w:ascii="Arial" w:hAnsi="Arial" w:cs="Arial"/>
          <w:i/>
          <w:color w:val="800000"/>
          <w:sz w:val="15"/>
          <w:szCs w:val="13"/>
        </w:rPr>
        <w:t xml:space="preserve">, the </w:t>
      </w:r>
      <w:r w:rsidR="00722016" w:rsidRPr="00C63268">
        <w:rPr>
          <w:rFonts w:ascii="Arial" w:hAnsi="Arial" w:cs="Arial"/>
          <w:i/>
          <w:color w:val="800000"/>
          <w:sz w:val="15"/>
          <w:szCs w:val="13"/>
        </w:rPr>
        <w:t xml:space="preserve">Ordinance </w:t>
      </w:r>
      <w:r w:rsidRPr="00C63268">
        <w:rPr>
          <w:rFonts w:ascii="Arial" w:hAnsi="Arial" w:cs="Arial"/>
          <w:i/>
          <w:color w:val="800000"/>
          <w:sz w:val="15"/>
          <w:szCs w:val="13"/>
        </w:rPr>
        <w:t>shall prevail.</w:t>
      </w:r>
    </w:p>
    <w:p w:rsidR="00EC024E" w:rsidRDefault="00927FBD" w:rsidP="00D60376">
      <w:pPr>
        <w:pStyle w:val="BodyTextIndent"/>
        <w:pBdr>
          <w:left w:val="single" w:sz="4" w:space="9" w:color="000080"/>
          <w:bottom w:val="single" w:sz="4" w:space="6" w:color="000080"/>
          <w:right w:val="single" w:sz="4" w:space="4" w:color="000080"/>
        </w:pBdr>
        <w:tabs>
          <w:tab w:val="clear" w:pos="-533"/>
          <w:tab w:val="clear" w:pos="187"/>
          <w:tab w:val="clear" w:pos="450"/>
          <w:tab w:val="clear" w:pos="5083"/>
          <w:tab w:val="clear" w:pos="7099"/>
          <w:tab w:val="clear" w:pos="8251"/>
          <w:tab w:val="clear" w:pos="9691"/>
          <w:tab w:val="left" w:pos="720"/>
          <w:tab w:val="right" w:pos="10620"/>
        </w:tabs>
        <w:ind w:left="461" w:right="187" w:hanging="274"/>
        <w:rPr>
          <w:rFonts w:ascii="Arial" w:hAnsi="Arial" w:cs="Arial"/>
          <w:i/>
          <w:sz w:val="13"/>
          <w:szCs w:val="13"/>
        </w:rPr>
      </w:pPr>
      <w:r>
        <w:rPr>
          <w:rFonts w:ascii="Arial" w:hAnsi="Arial" w:cs="Arial"/>
          <w:i/>
          <w:sz w:val="13"/>
          <w:szCs w:val="13"/>
        </w:rPr>
        <w:tab/>
      </w:r>
      <w:r w:rsidR="0009687A" w:rsidRPr="007A4B55">
        <w:rPr>
          <w:rFonts w:ascii="Arial" w:hAnsi="Arial" w:cs="Arial"/>
          <w:i/>
          <w:sz w:val="13"/>
          <w:szCs w:val="13"/>
        </w:rPr>
        <w:tab/>
      </w:r>
      <w:r w:rsidR="0009687A" w:rsidRPr="007A4B55">
        <w:rPr>
          <w:rFonts w:ascii="Arial" w:hAnsi="Arial" w:cs="Arial"/>
          <w:i/>
          <w:sz w:val="13"/>
          <w:szCs w:val="13"/>
        </w:rPr>
        <w:tab/>
      </w:r>
    </w:p>
    <w:p w:rsidR="0052112F" w:rsidRPr="00EC024E" w:rsidRDefault="00EC024E" w:rsidP="00EC024E">
      <w:pPr>
        <w:pStyle w:val="BodyTextIndent"/>
        <w:pBdr>
          <w:left w:val="single" w:sz="4" w:space="9" w:color="000080"/>
          <w:bottom w:val="single" w:sz="4" w:space="6" w:color="000080"/>
          <w:right w:val="single" w:sz="4" w:space="4" w:color="000080"/>
        </w:pBdr>
        <w:tabs>
          <w:tab w:val="clear" w:pos="-533"/>
          <w:tab w:val="clear" w:pos="187"/>
          <w:tab w:val="clear" w:pos="450"/>
          <w:tab w:val="clear" w:pos="5083"/>
          <w:tab w:val="clear" w:pos="7099"/>
          <w:tab w:val="clear" w:pos="8251"/>
          <w:tab w:val="clear" w:pos="9691"/>
          <w:tab w:val="right" w:pos="10620"/>
        </w:tabs>
        <w:ind w:left="461" w:right="187" w:hanging="274"/>
        <w:rPr>
          <w:rFonts w:ascii="Arial" w:hAnsi="Arial" w:cs="Arial"/>
          <w:color w:val="000000"/>
          <w:szCs w:val="16"/>
        </w:rPr>
      </w:pPr>
      <w:r>
        <w:rPr>
          <w:rFonts w:ascii="Arial" w:hAnsi="Arial" w:cs="Arial"/>
          <w:i/>
          <w:sz w:val="13"/>
          <w:szCs w:val="13"/>
        </w:rPr>
        <w:tab/>
      </w:r>
      <w:r>
        <w:rPr>
          <w:rFonts w:ascii="Arial" w:hAnsi="Arial" w:cs="Arial"/>
          <w:i/>
          <w:sz w:val="13"/>
          <w:szCs w:val="13"/>
        </w:rPr>
        <w:tab/>
      </w:r>
      <w:r w:rsidR="001F79B6" w:rsidRPr="00EC024E">
        <w:rPr>
          <w:rFonts w:ascii="Arial" w:hAnsi="Arial" w:cs="Arial"/>
          <w:i/>
          <w:sz w:val="14"/>
          <w:szCs w:val="16"/>
        </w:rPr>
        <w:t xml:space="preserve">Modified </w:t>
      </w:r>
      <w:r w:rsidR="00CB1C1D">
        <w:rPr>
          <w:rFonts w:ascii="Arial" w:hAnsi="Arial" w:cs="Arial"/>
          <w:i/>
          <w:sz w:val="14"/>
          <w:szCs w:val="16"/>
        </w:rPr>
        <w:t>8/30</w:t>
      </w:r>
      <w:r w:rsidR="00CB1C1D">
        <w:rPr>
          <w:i/>
          <w:sz w:val="14"/>
          <w:szCs w:val="16"/>
        </w:rPr>
        <w:t xml:space="preserve"> BS</w:t>
      </w:r>
    </w:p>
    <w:p w:rsidR="00A5357C" w:rsidRPr="0009687A" w:rsidRDefault="00B36A71" w:rsidP="007B72B9">
      <w:pPr>
        <w:pStyle w:val="Default"/>
        <w:rPr>
          <w:sz w:val="28"/>
          <w:szCs w:val="20"/>
        </w:rPr>
      </w:pPr>
      <w:r>
        <w:rPr>
          <w:b/>
          <w:bCs/>
          <w:sz w:val="28"/>
          <w:szCs w:val="20"/>
        </w:rPr>
        <w:br w:type="page"/>
      </w:r>
      <w:r w:rsidR="007B72B9" w:rsidRPr="0009687A">
        <w:rPr>
          <w:b/>
          <w:bCs/>
          <w:sz w:val="28"/>
          <w:szCs w:val="20"/>
        </w:rPr>
        <w:lastRenderedPageBreak/>
        <w:t>Bill Definitions</w:t>
      </w:r>
    </w:p>
    <w:p w:rsidR="007B72B9" w:rsidRPr="00B337E5" w:rsidRDefault="007B72B9" w:rsidP="003606D0">
      <w:pPr>
        <w:pStyle w:val="Default"/>
        <w:pBdr>
          <w:top w:val="single" w:sz="4" w:space="1" w:color="auto"/>
          <w:bottom w:val="single" w:sz="4" w:space="1" w:color="auto"/>
        </w:pBdr>
        <w:shd w:val="clear" w:color="auto" w:fill="D9D9D9" w:themeFill="background1" w:themeFillShade="D9"/>
        <w:spacing w:after="80"/>
        <w:rPr>
          <w:b/>
          <w:color w:val="000080"/>
          <w:sz w:val="20"/>
          <w:szCs w:val="20"/>
        </w:rPr>
      </w:pPr>
      <w:r w:rsidRPr="00B337E5">
        <w:rPr>
          <w:b/>
          <w:color w:val="000080"/>
          <w:sz w:val="20"/>
          <w:szCs w:val="20"/>
        </w:rPr>
        <w:t xml:space="preserve">Utilities </w:t>
      </w:r>
    </w:p>
    <w:p w:rsidR="007B72B9" w:rsidRPr="0009687A" w:rsidRDefault="007B72B9" w:rsidP="00A5357C">
      <w:pPr>
        <w:pStyle w:val="Default"/>
        <w:spacing w:after="80"/>
        <w:rPr>
          <w:sz w:val="18"/>
          <w:szCs w:val="20"/>
        </w:rPr>
      </w:pPr>
      <w:r w:rsidRPr="0009687A">
        <w:rPr>
          <w:b/>
          <w:bCs/>
          <w:sz w:val="18"/>
          <w:szCs w:val="20"/>
        </w:rPr>
        <w:t xml:space="preserve">Customer Charge </w:t>
      </w:r>
      <w:r w:rsidRPr="0009687A">
        <w:rPr>
          <w:sz w:val="18"/>
          <w:szCs w:val="20"/>
        </w:rPr>
        <w:t xml:space="preserve">- Each utility service has a fixed customer charge to recover those costs that GRU must incur to provide service whether or not any consumption is used. Meter repair and replacement expenses, monthly meter reading expenses and the costs of producing and mailing the utility bill are examples of such costs. </w:t>
      </w:r>
    </w:p>
    <w:p w:rsidR="007B72B9" w:rsidRPr="0009687A" w:rsidRDefault="007B72B9" w:rsidP="00A5357C">
      <w:pPr>
        <w:pStyle w:val="Default"/>
        <w:spacing w:after="80"/>
        <w:rPr>
          <w:sz w:val="18"/>
          <w:szCs w:val="20"/>
        </w:rPr>
      </w:pPr>
      <w:r w:rsidRPr="0009687A">
        <w:rPr>
          <w:b/>
          <w:bCs/>
          <w:sz w:val="18"/>
          <w:szCs w:val="20"/>
        </w:rPr>
        <w:t xml:space="preserve">Electric and Gas Energy Charges </w:t>
      </w:r>
      <w:r w:rsidRPr="0009687A">
        <w:rPr>
          <w:sz w:val="18"/>
          <w:szCs w:val="20"/>
        </w:rPr>
        <w:t xml:space="preserve">- Electric and gas energy charges vary in amount with the level of utility service the customer actually uses. These charges recover those costs that GRU incurs in delivering the utility service to the customer such as costs associated with operating and maintaining the respective transmission and distribution systems—the electric and gas lines. Also included in each energy charge is a taxable portion of fuel costs (see </w:t>
      </w:r>
      <w:r w:rsidR="007F6C96">
        <w:rPr>
          <w:sz w:val="18"/>
          <w:szCs w:val="20"/>
        </w:rPr>
        <w:t>F</w:t>
      </w:r>
      <w:r w:rsidRPr="0009687A">
        <w:rPr>
          <w:sz w:val="18"/>
          <w:szCs w:val="20"/>
        </w:rPr>
        <w:t xml:space="preserve">uel Adjustment Charge below). </w:t>
      </w:r>
    </w:p>
    <w:p w:rsidR="00F377B9" w:rsidRPr="007F6C96" w:rsidRDefault="00F377B9" w:rsidP="00F377B9">
      <w:pPr>
        <w:pStyle w:val="Default"/>
        <w:spacing w:after="80"/>
        <w:rPr>
          <w:b/>
          <w:bCs/>
          <w:sz w:val="18"/>
          <w:szCs w:val="20"/>
        </w:rPr>
      </w:pPr>
      <w:r w:rsidRPr="0009687A">
        <w:rPr>
          <w:b/>
          <w:bCs/>
          <w:sz w:val="18"/>
          <w:szCs w:val="20"/>
        </w:rPr>
        <w:t>Manufactured Gas Plant Cost Recovery Factor</w:t>
      </w:r>
      <w:r w:rsidRPr="0009687A">
        <w:rPr>
          <w:bCs/>
          <w:sz w:val="18"/>
          <w:szCs w:val="20"/>
        </w:rPr>
        <w:t xml:space="preserve"> </w:t>
      </w:r>
      <w:r w:rsidR="007F6C96">
        <w:rPr>
          <w:bCs/>
          <w:sz w:val="18"/>
          <w:szCs w:val="20"/>
        </w:rPr>
        <w:t xml:space="preserve">- </w:t>
      </w:r>
      <w:r w:rsidRPr="0009687A">
        <w:rPr>
          <w:bCs/>
          <w:sz w:val="18"/>
          <w:szCs w:val="20"/>
        </w:rPr>
        <w:t>When GRU purchased the privately owned Gainesville Gas Company in 1990, the utility assumed responsibility for cleanup of residual coal tar contamination at the former site of the gas plant on Depot Avenue. To recover a portion of the cost of this remediation, a per-therm fee is charged for natural gas. This fee is reassessed each year based on the changing costs of the cleanup.</w:t>
      </w:r>
    </w:p>
    <w:p w:rsidR="007B72B9" w:rsidRPr="0009687A" w:rsidRDefault="007B72B9" w:rsidP="00A5357C">
      <w:pPr>
        <w:pStyle w:val="Default"/>
        <w:spacing w:after="80"/>
        <w:rPr>
          <w:sz w:val="18"/>
          <w:szCs w:val="20"/>
        </w:rPr>
      </w:pPr>
      <w:r w:rsidRPr="0009687A">
        <w:rPr>
          <w:b/>
          <w:bCs/>
          <w:sz w:val="18"/>
          <w:szCs w:val="20"/>
        </w:rPr>
        <w:t xml:space="preserve">Fuel </w:t>
      </w:r>
      <w:r w:rsidR="000B1078">
        <w:rPr>
          <w:b/>
          <w:bCs/>
          <w:sz w:val="18"/>
          <w:szCs w:val="20"/>
        </w:rPr>
        <w:t xml:space="preserve">or </w:t>
      </w:r>
      <w:r w:rsidR="000B1078" w:rsidRPr="000B1078">
        <w:rPr>
          <w:b/>
          <w:bCs/>
          <w:sz w:val="18"/>
          <w:szCs w:val="20"/>
        </w:rPr>
        <w:t xml:space="preserve">Purchased Gas </w:t>
      </w:r>
      <w:r w:rsidRPr="0009687A">
        <w:rPr>
          <w:b/>
          <w:bCs/>
          <w:sz w:val="18"/>
          <w:szCs w:val="20"/>
        </w:rPr>
        <w:t>Adjustment Charge</w:t>
      </w:r>
      <w:r w:rsidR="000B1078">
        <w:rPr>
          <w:b/>
          <w:bCs/>
          <w:sz w:val="18"/>
          <w:szCs w:val="20"/>
        </w:rPr>
        <w:t>s</w:t>
      </w:r>
      <w:r w:rsidRPr="0009687A">
        <w:rPr>
          <w:b/>
          <w:bCs/>
          <w:sz w:val="18"/>
          <w:szCs w:val="20"/>
        </w:rPr>
        <w:t xml:space="preserve"> </w:t>
      </w:r>
      <w:r w:rsidRPr="0009687A">
        <w:rPr>
          <w:sz w:val="18"/>
          <w:szCs w:val="20"/>
        </w:rPr>
        <w:t xml:space="preserve">- The electric and gas adjustment charges vary in amount with the level of electricity or gas the customer actually uses. For electric service, this charge recovers the cost of the fuel used to generate electricity. For gas service, fuel costs are those paid by GRU to natural gas and liquid propane gas suppliers. In 1973, the Florida legislature “froze” the amount of fuel costs subject to utility taxes or surcharges. GRU’s fuel adjustment charges are the difference between what fuel costs today and what it cost on October 1, 1973, and are exempt from utility taxes and surcharges [Sec. 166-231, Florida Statutes]. </w:t>
      </w:r>
    </w:p>
    <w:p w:rsidR="007B72B9" w:rsidRPr="0009687A" w:rsidRDefault="007B72B9" w:rsidP="00A5357C">
      <w:pPr>
        <w:pStyle w:val="Default"/>
        <w:spacing w:after="80"/>
        <w:rPr>
          <w:sz w:val="18"/>
          <w:szCs w:val="20"/>
        </w:rPr>
      </w:pPr>
      <w:r w:rsidRPr="0009687A">
        <w:rPr>
          <w:b/>
          <w:bCs/>
          <w:sz w:val="18"/>
          <w:szCs w:val="20"/>
        </w:rPr>
        <w:t xml:space="preserve">Water </w:t>
      </w:r>
      <w:r w:rsidR="00F34248">
        <w:rPr>
          <w:b/>
          <w:bCs/>
          <w:sz w:val="18"/>
          <w:szCs w:val="20"/>
        </w:rPr>
        <w:t xml:space="preserve">Use </w:t>
      </w:r>
      <w:r w:rsidRPr="0009687A">
        <w:rPr>
          <w:b/>
          <w:bCs/>
          <w:sz w:val="18"/>
          <w:szCs w:val="20"/>
        </w:rPr>
        <w:t>Charge</w:t>
      </w:r>
      <w:r w:rsidR="000B1078">
        <w:rPr>
          <w:b/>
          <w:bCs/>
          <w:sz w:val="18"/>
          <w:szCs w:val="20"/>
        </w:rPr>
        <w:t>s</w:t>
      </w:r>
      <w:r w:rsidRPr="0009687A">
        <w:rPr>
          <w:b/>
          <w:bCs/>
          <w:sz w:val="18"/>
          <w:szCs w:val="20"/>
        </w:rPr>
        <w:t xml:space="preserve"> </w:t>
      </w:r>
      <w:r w:rsidRPr="0009687A">
        <w:rPr>
          <w:sz w:val="18"/>
          <w:szCs w:val="20"/>
        </w:rPr>
        <w:t xml:space="preserve">- The water </w:t>
      </w:r>
      <w:r w:rsidR="00F34248">
        <w:rPr>
          <w:sz w:val="18"/>
          <w:szCs w:val="20"/>
        </w:rPr>
        <w:t xml:space="preserve">use </w:t>
      </w:r>
      <w:r w:rsidRPr="0009687A">
        <w:rPr>
          <w:sz w:val="18"/>
          <w:szCs w:val="20"/>
        </w:rPr>
        <w:t xml:space="preserve">charge varies in amount with the level of water the customer actually uses. It recovers the operating and maintenance costs associated with drawing the water out of the Floridan Aquifer, treating it to drinking water standards, and pumping it through underground water pipes to your home. </w:t>
      </w:r>
    </w:p>
    <w:p w:rsidR="007B72B9" w:rsidRPr="0009687A" w:rsidRDefault="007B72B9" w:rsidP="00A5357C">
      <w:pPr>
        <w:pStyle w:val="Default"/>
        <w:spacing w:after="80"/>
        <w:rPr>
          <w:sz w:val="18"/>
          <w:szCs w:val="20"/>
        </w:rPr>
      </w:pPr>
      <w:r w:rsidRPr="00E54832">
        <w:rPr>
          <w:b/>
          <w:bCs/>
          <w:sz w:val="18"/>
          <w:szCs w:val="20"/>
        </w:rPr>
        <w:t xml:space="preserve">Wastewater </w:t>
      </w:r>
      <w:r w:rsidR="00F34248" w:rsidRPr="00E54832">
        <w:rPr>
          <w:b/>
          <w:bCs/>
          <w:sz w:val="18"/>
          <w:szCs w:val="20"/>
        </w:rPr>
        <w:t xml:space="preserve">Billing </w:t>
      </w:r>
      <w:r w:rsidRPr="00E54832">
        <w:rPr>
          <w:b/>
          <w:bCs/>
          <w:sz w:val="18"/>
          <w:szCs w:val="20"/>
        </w:rPr>
        <w:t>Charge</w:t>
      </w:r>
      <w:r w:rsidR="000B1078" w:rsidRPr="00E54832">
        <w:rPr>
          <w:b/>
          <w:bCs/>
          <w:sz w:val="18"/>
          <w:szCs w:val="20"/>
        </w:rPr>
        <w:t>s</w:t>
      </w:r>
      <w:r w:rsidRPr="00E54832">
        <w:rPr>
          <w:b/>
          <w:bCs/>
          <w:sz w:val="18"/>
          <w:szCs w:val="20"/>
        </w:rPr>
        <w:t xml:space="preserve"> </w:t>
      </w:r>
      <w:r w:rsidRPr="00E54832">
        <w:rPr>
          <w:sz w:val="18"/>
          <w:szCs w:val="20"/>
        </w:rPr>
        <w:t xml:space="preserve">- Wastewater </w:t>
      </w:r>
      <w:r w:rsidR="00F34248" w:rsidRPr="00E54832">
        <w:rPr>
          <w:sz w:val="18"/>
          <w:szCs w:val="20"/>
        </w:rPr>
        <w:t xml:space="preserve">billing </w:t>
      </w:r>
      <w:r w:rsidRPr="00E54832">
        <w:rPr>
          <w:sz w:val="18"/>
          <w:szCs w:val="20"/>
        </w:rPr>
        <w:t xml:space="preserve">charges recover the operating and maintenance costs of pumping wastewater from your home to one of our two wastewater reclamation facilities, processing and treating the wastewater so that the residual wastewater meets drinking standards, and disposing of the wastewater and wastewater by-products. Since wastewater usage cannot be metered, GRU uses the metered amount of water used by residential customers to determine how much water is returned to the wastewater system. </w:t>
      </w:r>
    </w:p>
    <w:p w:rsidR="007B72B9" w:rsidRPr="00B337E5" w:rsidRDefault="007B72B9" w:rsidP="003606D0">
      <w:pPr>
        <w:pStyle w:val="Default"/>
        <w:pBdr>
          <w:top w:val="single" w:sz="4" w:space="1" w:color="auto"/>
          <w:bottom w:val="single" w:sz="4" w:space="1" w:color="auto"/>
        </w:pBdr>
        <w:shd w:val="clear" w:color="auto" w:fill="D9D9D9" w:themeFill="background1" w:themeFillShade="D9"/>
        <w:spacing w:after="80"/>
        <w:rPr>
          <w:rFonts w:cs="Times New Roman"/>
          <w:b/>
          <w:color w:val="000080"/>
          <w:sz w:val="20"/>
          <w:szCs w:val="20"/>
        </w:rPr>
      </w:pPr>
      <w:r w:rsidRPr="00B337E5">
        <w:rPr>
          <w:rFonts w:cs="Times New Roman"/>
          <w:b/>
          <w:color w:val="000080"/>
          <w:sz w:val="20"/>
          <w:szCs w:val="20"/>
        </w:rPr>
        <w:t xml:space="preserve">City of Gainesville </w:t>
      </w:r>
    </w:p>
    <w:p w:rsidR="007B72B9" w:rsidRPr="0009687A" w:rsidRDefault="007B72B9" w:rsidP="00A5357C">
      <w:pPr>
        <w:pStyle w:val="Default"/>
        <w:spacing w:after="80"/>
        <w:rPr>
          <w:sz w:val="18"/>
          <w:szCs w:val="20"/>
        </w:rPr>
      </w:pPr>
      <w:r w:rsidRPr="0009687A">
        <w:rPr>
          <w:b/>
          <w:bCs/>
          <w:sz w:val="18"/>
          <w:szCs w:val="20"/>
        </w:rPr>
        <w:t xml:space="preserve">Refuse (Solid Waste Fee) </w:t>
      </w:r>
      <w:r w:rsidRPr="0009687A">
        <w:rPr>
          <w:sz w:val="18"/>
          <w:szCs w:val="20"/>
        </w:rPr>
        <w:t xml:space="preserve">- Section 27-236 of the Gainesville Code of Ordinances authorizes the City to collect a monthly fee for garbage, yard waste, and recycling services. GRU is only the billing agent and revenues collected are passed directly to the City. </w:t>
      </w:r>
    </w:p>
    <w:p w:rsidR="007B72B9" w:rsidRPr="0009687A" w:rsidRDefault="007B72B9" w:rsidP="00A5357C">
      <w:pPr>
        <w:pStyle w:val="Default"/>
        <w:spacing w:after="80"/>
        <w:rPr>
          <w:sz w:val="18"/>
          <w:szCs w:val="20"/>
        </w:rPr>
      </w:pPr>
      <w:r w:rsidRPr="0009687A">
        <w:rPr>
          <w:b/>
          <w:bCs/>
          <w:sz w:val="18"/>
          <w:szCs w:val="20"/>
        </w:rPr>
        <w:t xml:space="preserve">Stormwater Fee </w:t>
      </w:r>
      <w:r w:rsidRPr="0009687A">
        <w:rPr>
          <w:sz w:val="18"/>
          <w:szCs w:val="20"/>
        </w:rPr>
        <w:t xml:space="preserve">- Section 27-236 of the Gainesville Code of Ordinances authorizes the City to levy a fee to fund the Stormwater Management Utility Program. GRU is only the billing agent and revenues </w:t>
      </w:r>
      <w:r w:rsidR="007F6C96">
        <w:rPr>
          <w:sz w:val="18"/>
          <w:szCs w:val="20"/>
        </w:rPr>
        <w:t xml:space="preserve">collected </w:t>
      </w:r>
      <w:r w:rsidRPr="0009687A">
        <w:rPr>
          <w:sz w:val="18"/>
          <w:szCs w:val="20"/>
        </w:rPr>
        <w:t xml:space="preserve">are passed directly to the City. The basic measurement is 1 ERU (equivalent residential unit of 2300 sq. ft.). </w:t>
      </w:r>
    </w:p>
    <w:p w:rsidR="007B72B9" w:rsidRPr="00B337E5" w:rsidRDefault="007B72B9" w:rsidP="003606D0">
      <w:pPr>
        <w:pStyle w:val="Default"/>
        <w:pBdr>
          <w:top w:val="single" w:sz="4" w:space="1" w:color="auto"/>
          <w:bottom w:val="single" w:sz="4" w:space="1" w:color="auto"/>
        </w:pBdr>
        <w:shd w:val="clear" w:color="auto" w:fill="D9D9D9" w:themeFill="background1" w:themeFillShade="D9"/>
        <w:spacing w:after="80"/>
        <w:rPr>
          <w:rFonts w:cs="Times New Roman"/>
          <w:b/>
          <w:color w:val="000080"/>
          <w:sz w:val="20"/>
          <w:szCs w:val="20"/>
        </w:rPr>
      </w:pPr>
      <w:r w:rsidRPr="00B337E5">
        <w:rPr>
          <w:rFonts w:cs="Times New Roman"/>
          <w:b/>
          <w:color w:val="000080"/>
          <w:sz w:val="20"/>
          <w:szCs w:val="20"/>
        </w:rPr>
        <w:t xml:space="preserve">Taxes and Surcharges </w:t>
      </w:r>
    </w:p>
    <w:p w:rsidR="007B72B9" w:rsidRPr="0009687A" w:rsidRDefault="007B72B9" w:rsidP="00A5357C">
      <w:pPr>
        <w:pStyle w:val="Default"/>
        <w:spacing w:after="80"/>
        <w:rPr>
          <w:sz w:val="18"/>
          <w:szCs w:val="20"/>
        </w:rPr>
      </w:pPr>
      <w:r w:rsidRPr="0009687A">
        <w:rPr>
          <w:b/>
          <w:bCs/>
          <w:sz w:val="18"/>
          <w:szCs w:val="20"/>
        </w:rPr>
        <w:t xml:space="preserve">Electric Surcharge </w:t>
      </w:r>
      <w:r w:rsidRPr="0009687A">
        <w:rPr>
          <w:sz w:val="18"/>
          <w:szCs w:val="20"/>
        </w:rPr>
        <w:t xml:space="preserve">- The Florida Public Service Commission has authorized an electric surcharge be levied on electric charges to customers receiving electric service outside the city limits and equal to the utility tax (10%) levied on electric charges to customers receiving electric service inside the city limits. [Sec. 27-27(c), Gainesville Code of Ordinances] </w:t>
      </w:r>
    </w:p>
    <w:p w:rsidR="007B72B9" w:rsidRPr="0009687A" w:rsidRDefault="007B72B9" w:rsidP="00A5357C">
      <w:pPr>
        <w:pStyle w:val="Default"/>
        <w:spacing w:after="80"/>
        <w:rPr>
          <w:sz w:val="18"/>
          <w:szCs w:val="20"/>
        </w:rPr>
      </w:pPr>
      <w:r w:rsidRPr="0009687A">
        <w:rPr>
          <w:b/>
          <w:bCs/>
          <w:sz w:val="18"/>
          <w:szCs w:val="20"/>
        </w:rPr>
        <w:t xml:space="preserve">Natural Gas Surcharge </w:t>
      </w:r>
      <w:r w:rsidRPr="0009687A">
        <w:rPr>
          <w:sz w:val="18"/>
          <w:szCs w:val="20"/>
        </w:rPr>
        <w:t xml:space="preserve">- Section 27-272.1 of chapter 27 of the Gainesville Code of Ordinances authorizes the City to levy a natural gas surcharge on customers receiving natural gas service outside the city limits equal to the utility tax (10%) levied on customers receiving natural gas service inside the city limits. [Sec. 27-27(c), Gainesville Code of Ordinances] </w:t>
      </w:r>
    </w:p>
    <w:p w:rsidR="007B72B9" w:rsidRPr="0009687A" w:rsidRDefault="007B72B9" w:rsidP="00A5357C">
      <w:pPr>
        <w:pStyle w:val="Default"/>
        <w:spacing w:after="80"/>
        <w:rPr>
          <w:sz w:val="18"/>
          <w:szCs w:val="20"/>
        </w:rPr>
      </w:pPr>
      <w:r w:rsidRPr="0009687A">
        <w:rPr>
          <w:b/>
          <w:bCs/>
          <w:sz w:val="18"/>
          <w:szCs w:val="20"/>
        </w:rPr>
        <w:t xml:space="preserve">Water and Wastewater Surcharges </w:t>
      </w:r>
      <w:r w:rsidRPr="0009687A">
        <w:rPr>
          <w:sz w:val="18"/>
          <w:szCs w:val="20"/>
        </w:rPr>
        <w:t>- Section 180.191 of the Florida Statues authorizes the city to levy a 25% surcharge on water and wastewater charges to customers receiving such services outside the city limits. [Sec.27-128(b) and 27-169(b), Gainesville Code of Ordinances]</w:t>
      </w:r>
    </w:p>
    <w:p w:rsidR="007B72B9" w:rsidRPr="0009687A" w:rsidRDefault="007B72B9" w:rsidP="00A5357C">
      <w:pPr>
        <w:pStyle w:val="Default"/>
        <w:spacing w:after="80"/>
        <w:rPr>
          <w:sz w:val="18"/>
          <w:szCs w:val="20"/>
        </w:rPr>
      </w:pPr>
      <w:r w:rsidRPr="0009687A">
        <w:rPr>
          <w:b/>
          <w:bCs/>
          <w:sz w:val="18"/>
          <w:szCs w:val="20"/>
        </w:rPr>
        <w:t xml:space="preserve">Utility Tax </w:t>
      </w:r>
      <w:r w:rsidRPr="0009687A">
        <w:rPr>
          <w:sz w:val="18"/>
          <w:szCs w:val="20"/>
        </w:rPr>
        <w:t xml:space="preserve">- Section 166.231 of the Florida Statues authorizes cities and “charter” counties to levy a utility tax. The City of Gainesville, Alachua County, and the City of Alachua all levy a 10% utility tax on electric, gas, and water charges. These tax revenues are passed directly to the levying authority. </w:t>
      </w:r>
    </w:p>
    <w:p w:rsidR="007B72B9" w:rsidRPr="006A7D46" w:rsidRDefault="007B72B9" w:rsidP="00A5357C">
      <w:pPr>
        <w:pStyle w:val="Default"/>
        <w:spacing w:after="80"/>
        <w:rPr>
          <w:sz w:val="18"/>
          <w:szCs w:val="20"/>
        </w:rPr>
      </w:pPr>
      <w:r w:rsidRPr="0009687A">
        <w:rPr>
          <w:b/>
          <w:bCs/>
          <w:sz w:val="18"/>
          <w:szCs w:val="20"/>
        </w:rPr>
        <w:t xml:space="preserve">Florida Gross Receipts Tax </w:t>
      </w:r>
      <w:r w:rsidRPr="0009687A">
        <w:rPr>
          <w:sz w:val="18"/>
          <w:szCs w:val="20"/>
        </w:rPr>
        <w:t xml:space="preserve">- Chapter 12B-6 of the Florida Administrative Code levies a 2.5% tax on the gross receipts of electric and gas industries in the State of Florida and allows this amount to be recovered from all customers regardless of tax-exempt status. These </w:t>
      </w:r>
      <w:r w:rsidRPr="006A7D46">
        <w:rPr>
          <w:sz w:val="18"/>
          <w:szCs w:val="20"/>
        </w:rPr>
        <w:t xml:space="preserve">tax revenues are passed directly to the State and are used for Public Education Capital Outlay funding. The DOR factor for the Florida Gross Receipts Tax </w:t>
      </w:r>
      <w:r w:rsidR="00395A97" w:rsidRPr="006A7D46">
        <w:rPr>
          <w:sz w:val="18"/>
          <w:szCs w:val="20"/>
        </w:rPr>
        <w:t xml:space="preserve">for natural gas </w:t>
      </w:r>
      <w:r w:rsidRPr="006A7D46">
        <w:rPr>
          <w:sz w:val="18"/>
          <w:szCs w:val="20"/>
        </w:rPr>
        <w:t xml:space="preserve">is determined by the Department of Revenue. </w:t>
      </w:r>
    </w:p>
    <w:p w:rsidR="007B72B9" w:rsidRPr="006A7D46" w:rsidRDefault="007B72B9" w:rsidP="00A5357C">
      <w:pPr>
        <w:pStyle w:val="Default"/>
        <w:spacing w:after="80"/>
        <w:rPr>
          <w:sz w:val="18"/>
          <w:szCs w:val="20"/>
        </w:rPr>
      </w:pPr>
      <w:r w:rsidRPr="006A7D46">
        <w:rPr>
          <w:b/>
          <w:bCs/>
          <w:sz w:val="18"/>
          <w:szCs w:val="20"/>
        </w:rPr>
        <w:t xml:space="preserve">Franchise Fee </w:t>
      </w:r>
      <w:r w:rsidRPr="006A7D46">
        <w:rPr>
          <w:sz w:val="18"/>
          <w:szCs w:val="20"/>
        </w:rPr>
        <w:t xml:space="preserve">- A fee levied by cities on electric and gas charges for services provided by GRU in their respective jurisdictions. </w:t>
      </w:r>
    </w:p>
    <w:p w:rsidR="007B72B9" w:rsidRPr="00B337E5" w:rsidRDefault="007B72B9" w:rsidP="00B337E5">
      <w:pPr>
        <w:pStyle w:val="Default"/>
        <w:pBdr>
          <w:top w:val="single" w:sz="4" w:space="1" w:color="auto"/>
          <w:bottom w:val="single" w:sz="4" w:space="1" w:color="auto"/>
        </w:pBdr>
        <w:shd w:val="clear" w:color="auto" w:fill="D9D9D9" w:themeFill="background1" w:themeFillShade="D9"/>
        <w:spacing w:after="80"/>
        <w:rPr>
          <w:rFonts w:cs="Times New Roman"/>
          <w:b/>
          <w:color w:val="000080"/>
          <w:sz w:val="20"/>
          <w:szCs w:val="20"/>
        </w:rPr>
      </w:pPr>
      <w:r w:rsidRPr="00B337E5">
        <w:rPr>
          <w:rFonts w:cs="Times New Roman"/>
          <w:b/>
          <w:color w:val="000080"/>
          <w:sz w:val="20"/>
          <w:szCs w:val="20"/>
        </w:rPr>
        <w:t xml:space="preserve">Adjustments &amp; Service Charges </w:t>
      </w:r>
    </w:p>
    <w:p w:rsidR="007B72B9" w:rsidRPr="006A7D46" w:rsidRDefault="007B72B9" w:rsidP="006A7D46">
      <w:pPr>
        <w:pStyle w:val="Default"/>
        <w:spacing w:after="80"/>
        <w:rPr>
          <w:sz w:val="18"/>
          <w:szCs w:val="18"/>
        </w:rPr>
      </w:pPr>
      <w:r w:rsidRPr="006A7D46">
        <w:rPr>
          <w:b/>
          <w:bCs/>
          <w:sz w:val="18"/>
          <w:szCs w:val="18"/>
        </w:rPr>
        <w:t xml:space="preserve">Late Fee </w:t>
      </w:r>
      <w:r w:rsidRPr="006A7D46">
        <w:rPr>
          <w:sz w:val="18"/>
          <w:szCs w:val="18"/>
        </w:rPr>
        <w:t xml:space="preserve">- A </w:t>
      </w:r>
      <w:r w:rsidR="007F6C96" w:rsidRPr="006A7D46">
        <w:rPr>
          <w:sz w:val="18"/>
          <w:szCs w:val="18"/>
        </w:rPr>
        <w:t xml:space="preserve">late fee of </w:t>
      </w:r>
      <w:r w:rsidRPr="006A7D46">
        <w:rPr>
          <w:sz w:val="18"/>
          <w:szCs w:val="18"/>
        </w:rPr>
        <w:t xml:space="preserve">$1 or 1.5% (whichever is greater) will be charged on any unpaid balance at the close of business on your due date. Past due balances do not apply and may be subject to disconnection terms. [Sec. 27-14(e), Gainesville Code of Ordinances] </w:t>
      </w:r>
    </w:p>
    <w:p w:rsidR="00953CA6" w:rsidRPr="006A7D46" w:rsidRDefault="007B72B9" w:rsidP="006A7D46">
      <w:pPr>
        <w:spacing w:after="80"/>
        <w:rPr>
          <w:rFonts w:ascii="Arial" w:hAnsi="Arial" w:cs="Arial"/>
          <w:sz w:val="18"/>
          <w:szCs w:val="18"/>
        </w:rPr>
      </w:pPr>
      <w:r w:rsidRPr="006A7D46">
        <w:rPr>
          <w:rFonts w:ascii="Arial" w:hAnsi="Arial" w:cs="Arial"/>
          <w:b/>
          <w:bCs/>
          <w:sz w:val="18"/>
          <w:szCs w:val="18"/>
        </w:rPr>
        <w:t xml:space="preserve">Returned Payment Fee </w:t>
      </w:r>
      <w:r w:rsidR="00427659" w:rsidRPr="006A7D46">
        <w:rPr>
          <w:rFonts w:ascii="Arial" w:hAnsi="Arial" w:cs="Arial"/>
          <w:sz w:val="18"/>
          <w:szCs w:val="18"/>
        </w:rPr>
        <w:t>–</w:t>
      </w:r>
      <w:r w:rsidRPr="006A7D46">
        <w:rPr>
          <w:rFonts w:ascii="Arial" w:hAnsi="Arial" w:cs="Arial"/>
          <w:sz w:val="18"/>
          <w:szCs w:val="18"/>
        </w:rPr>
        <w:t xml:space="preserve"> </w:t>
      </w:r>
      <w:r w:rsidR="00427659" w:rsidRPr="006A7D46">
        <w:rPr>
          <w:rFonts w:ascii="Arial" w:hAnsi="Arial" w:cs="Arial"/>
          <w:sz w:val="18"/>
          <w:szCs w:val="18"/>
        </w:rPr>
        <w:t>Fees var</w:t>
      </w:r>
      <w:r w:rsidR="00D47ED2" w:rsidRPr="006A7D46">
        <w:rPr>
          <w:rFonts w:ascii="Arial" w:hAnsi="Arial" w:cs="Arial"/>
          <w:sz w:val="18"/>
          <w:szCs w:val="18"/>
        </w:rPr>
        <w:t>y</w:t>
      </w:r>
      <w:r w:rsidR="00427659" w:rsidRPr="006A7D46">
        <w:rPr>
          <w:rFonts w:ascii="Arial" w:hAnsi="Arial" w:cs="Arial"/>
          <w:sz w:val="18"/>
          <w:szCs w:val="18"/>
        </w:rPr>
        <w:t xml:space="preserve"> based on returned payment amount. </w:t>
      </w:r>
      <w:r w:rsidR="00D47ED2" w:rsidRPr="006A7D46">
        <w:rPr>
          <w:rFonts w:ascii="Arial" w:hAnsi="Arial" w:cs="Arial"/>
          <w:sz w:val="18"/>
          <w:szCs w:val="18"/>
        </w:rPr>
        <w:t>A</w:t>
      </w:r>
      <w:r w:rsidR="00427659" w:rsidRPr="006A7D46">
        <w:rPr>
          <w:rFonts w:ascii="Arial" w:hAnsi="Arial" w:cs="Arial"/>
          <w:sz w:val="18"/>
          <w:szCs w:val="18"/>
        </w:rPr>
        <w:t xml:space="preserve"> returned payment up to $50.00 will be charged a $25 service charge, $50.01 - $300 will be charged $30, $300.01- $800 will be charged $40, over $800 will be charged 5% of the face value.</w:t>
      </w:r>
      <w:r w:rsidRPr="006A7D46">
        <w:rPr>
          <w:rFonts w:ascii="Arial" w:hAnsi="Arial" w:cs="Arial"/>
          <w:sz w:val="18"/>
          <w:szCs w:val="18"/>
        </w:rPr>
        <w:t xml:space="preserve"> Accounts may be placed on a cash only payment basis for two (2) or more returned checks in a 12-month period. [Sec. 27-14.3, Gainesville Code of Ordinances]</w:t>
      </w:r>
    </w:p>
    <w:sectPr w:rsidR="00953CA6" w:rsidRPr="006A7D46" w:rsidSect="0009687A">
      <w:endnotePr>
        <w:numFmt w:val="decimal"/>
      </w:endnotePr>
      <w:pgSz w:w="12240" w:h="15840" w:code="1"/>
      <w:pgMar w:top="720" w:right="720" w:bottom="720" w:left="720" w:header="360" w:footer="3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0FD" w:rsidRDefault="004450FD">
      <w:pPr>
        <w:spacing w:line="20" w:lineRule="exact"/>
        <w:rPr>
          <w:sz w:val="24"/>
        </w:rPr>
      </w:pPr>
    </w:p>
  </w:endnote>
  <w:endnote w:type="continuationSeparator" w:id="0">
    <w:p w:rsidR="004450FD" w:rsidRDefault="004450FD">
      <w:r>
        <w:rPr>
          <w:sz w:val="24"/>
        </w:rPr>
        <w:t xml:space="preserve"> </w:t>
      </w:r>
    </w:p>
  </w:endnote>
  <w:endnote w:type="continuationNotice" w:id="1">
    <w:p w:rsidR="004450FD" w:rsidRDefault="004450F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0FD" w:rsidRDefault="004450FD">
      <w:r>
        <w:rPr>
          <w:sz w:val="24"/>
        </w:rPr>
        <w:separator/>
      </w:r>
    </w:p>
  </w:footnote>
  <w:footnote w:type="continuationSeparator" w:id="0">
    <w:p w:rsidR="004450FD" w:rsidRDefault="004450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1137"/>
    <w:multiLevelType w:val="hybridMultilevel"/>
    <w:tmpl w:val="57B8C68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F85B56"/>
    <w:multiLevelType w:val="singleLevel"/>
    <w:tmpl w:val="49ACAC10"/>
    <w:lvl w:ilvl="0">
      <w:start w:val="11"/>
      <w:numFmt w:val="lowerLetter"/>
      <w:lvlText w:val="%1."/>
      <w:lvlJc w:val="left"/>
      <w:pPr>
        <w:tabs>
          <w:tab w:val="num" w:pos="540"/>
        </w:tabs>
        <w:ind w:left="540" w:hanging="360"/>
      </w:pPr>
      <w:rPr>
        <w:rFonts w:hint="default"/>
      </w:rPr>
    </w:lvl>
  </w:abstractNum>
  <w:abstractNum w:abstractNumId="2" w15:restartNumberingAfterBreak="0">
    <w:nsid w:val="174D260C"/>
    <w:multiLevelType w:val="singleLevel"/>
    <w:tmpl w:val="A9B29ACC"/>
    <w:lvl w:ilvl="0">
      <w:start w:val="12"/>
      <w:numFmt w:val="lowerLetter"/>
      <w:lvlText w:val="%1."/>
      <w:lvlJc w:val="left"/>
      <w:pPr>
        <w:tabs>
          <w:tab w:val="num" w:pos="615"/>
        </w:tabs>
        <w:ind w:left="615" w:hanging="435"/>
      </w:pPr>
      <w:rPr>
        <w:rFonts w:hint="default"/>
      </w:rPr>
    </w:lvl>
  </w:abstractNum>
  <w:abstractNum w:abstractNumId="3" w15:restartNumberingAfterBreak="0">
    <w:nsid w:val="1FB75CE9"/>
    <w:multiLevelType w:val="singleLevel"/>
    <w:tmpl w:val="67FC83E8"/>
    <w:lvl w:ilvl="0">
      <w:start w:val="10"/>
      <w:numFmt w:val="lowerLetter"/>
      <w:lvlText w:val="%1."/>
      <w:lvlJc w:val="left"/>
      <w:pPr>
        <w:tabs>
          <w:tab w:val="num" w:pos="615"/>
        </w:tabs>
        <w:ind w:left="615" w:hanging="450"/>
      </w:pPr>
      <w:rPr>
        <w:rFonts w:hint="default"/>
      </w:rPr>
    </w:lvl>
  </w:abstractNum>
  <w:abstractNum w:abstractNumId="4" w15:restartNumberingAfterBreak="0">
    <w:nsid w:val="2E497483"/>
    <w:multiLevelType w:val="multilevel"/>
    <w:tmpl w:val="F64C7738"/>
    <w:lvl w:ilvl="0">
      <w:start w:val="2"/>
      <w:numFmt w:val="lowerLetter"/>
      <w:lvlText w:val="%1."/>
      <w:lvlJc w:val="left"/>
      <w:pPr>
        <w:tabs>
          <w:tab w:val="num" w:pos="990"/>
        </w:tabs>
        <w:ind w:left="990" w:hanging="360"/>
      </w:pPr>
      <w:rPr>
        <w:rFonts w:hint="default"/>
      </w:rPr>
    </w:lvl>
    <w:lvl w:ilvl="1">
      <w:start w:val="1"/>
      <w:numFmt w:val="lowerLetter"/>
      <w:lvlText w:val="%2."/>
      <w:lvlJc w:val="left"/>
      <w:pPr>
        <w:tabs>
          <w:tab w:val="num" w:pos="1890"/>
        </w:tabs>
        <w:ind w:left="1890" w:hanging="360"/>
      </w:pPr>
    </w:lvl>
    <w:lvl w:ilvl="2">
      <w:start w:val="1"/>
      <w:numFmt w:val="lowerRoman"/>
      <w:lvlText w:val="%3."/>
      <w:lvlJc w:val="right"/>
      <w:pPr>
        <w:tabs>
          <w:tab w:val="num" w:pos="2610"/>
        </w:tabs>
        <w:ind w:left="2610" w:hanging="180"/>
      </w:pPr>
    </w:lvl>
    <w:lvl w:ilvl="3">
      <w:start w:val="1"/>
      <w:numFmt w:val="decimal"/>
      <w:lvlText w:val="%4."/>
      <w:lvlJc w:val="left"/>
      <w:pPr>
        <w:tabs>
          <w:tab w:val="num" w:pos="3330"/>
        </w:tabs>
        <w:ind w:left="3330" w:hanging="360"/>
      </w:pPr>
    </w:lvl>
    <w:lvl w:ilvl="4">
      <w:start w:val="1"/>
      <w:numFmt w:val="lowerLetter"/>
      <w:lvlText w:val="%5."/>
      <w:lvlJc w:val="left"/>
      <w:pPr>
        <w:tabs>
          <w:tab w:val="num" w:pos="4050"/>
        </w:tabs>
        <w:ind w:left="4050" w:hanging="360"/>
      </w:pPr>
    </w:lvl>
    <w:lvl w:ilvl="5">
      <w:start w:val="1"/>
      <w:numFmt w:val="lowerRoman"/>
      <w:lvlText w:val="%6."/>
      <w:lvlJc w:val="right"/>
      <w:pPr>
        <w:tabs>
          <w:tab w:val="num" w:pos="4770"/>
        </w:tabs>
        <w:ind w:left="4770" w:hanging="180"/>
      </w:pPr>
    </w:lvl>
    <w:lvl w:ilvl="6">
      <w:start w:val="1"/>
      <w:numFmt w:val="decimal"/>
      <w:lvlText w:val="%7."/>
      <w:lvlJc w:val="left"/>
      <w:pPr>
        <w:tabs>
          <w:tab w:val="num" w:pos="5490"/>
        </w:tabs>
        <w:ind w:left="5490" w:hanging="360"/>
      </w:pPr>
    </w:lvl>
    <w:lvl w:ilvl="7">
      <w:start w:val="1"/>
      <w:numFmt w:val="lowerLetter"/>
      <w:lvlText w:val="%8."/>
      <w:lvlJc w:val="left"/>
      <w:pPr>
        <w:tabs>
          <w:tab w:val="num" w:pos="6210"/>
        </w:tabs>
        <w:ind w:left="6210" w:hanging="360"/>
      </w:pPr>
    </w:lvl>
    <w:lvl w:ilvl="8">
      <w:start w:val="1"/>
      <w:numFmt w:val="lowerRoman"/>
      <w:lvlText w:val="%9."/>
      <w:lvlJc w:val="right"/>
      <w:pPr>
        <w:tabs>
          <w:tab w:val="num" w:pos="6930"/>
        </w:tabs>
        <w:ind w:left="6930" w:hanging="180"/>
      </w:pPr>
    </w:lvl>
  </w:abstractNum>
  <w:abstractNum w:abstractNumId="5" w15:restartNumberingAfterBreak="0">
    <w:nsid w:val="36021F77"/>
    <w:multiLevelType w:val="singleLevel"/>
    <w:tmpl w:val="37CE408A"/>
    <w:lvl w:ilvl="0">
      <w:start w:val="11"/>
      <w:numFmt w:val="lowerLetter"/>
      <w:lvlText w:val="%1."/>
      <w:lvlJc w:val="left"/>
      <w:pPr>
        <w:tabs>
          <w:tab w:val="num" w:pos="615"/>
        </w:tabs>
        <w:ind w:left="615" w:hanging="435"/>
      </w:pPr>
      <w:rPr>
        <w:rFonts w:hint="default"/>
      </w:rPr>
    </w:lvl>
  </w:abstractNum>
  <w:abstractNum w:abstractNumId="6" w15:restartNumberingAfterBreak="0">
    <w:nsid w:val="387471A0"/>
    <w:multiLevelType w:val="hybridMultilevel"/>
    <w:tmpl w:val="00DA27C0"/>
    <w:lvl w:ilvl="0" w:tplc="5D88C34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700CF0"/>
    <w:multiLevelType w:val="hybridMultilevel"/>
    <w:tmpl w:val="EA369B48"/>
    <w:lvl w:ilvl="0" w:tplc="49ACAC10">
      <w:start w:val="1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F61713"/>
    <w:multiLevelType w:val="multilevel"/>
    <w:tmpl w:val="F13645D2"/>
    <w:lvl w:ilvl="0">
      <w:start w:val="11"/>
      <w:numFmt w:val="lowerLetter"/>
      <w:lvlText w:val="%1."/>
      <w:lvlJc w:val="left"/>
      <w:pPr>
        <w:tabs>
          <w:tab w:val="num" w:pos="540"/>
        </w:tabs>
        <w:ind w:left="5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BEB0070"/>
    <w:multiLevelType w:val="hybridMultilevel"/>
    <w:tmpl w:val="49CEC6F2"/>
    <w:lvl w:ilvl="0" w:tplc="4958271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 w15:restartNumberingAfterBreak="0">
    <w:nsid w:val="5CAE58E2"/>
    <w:multiLevelType w:val="singleLevel"/>
    <w:tmpl w:val="A9B29ACC"/>
    <w:lvl w:ilvl="0">
      <w:start w:val="1"/>
      <w:numFmt w:val="lowerLetter"/>
      <w:lvlText w:val="%1."/>
      <w:lvlJc w:val="left"/>
      <w:pPr>
        <w:tabs>
          <w:tab w:val="num" w:pos="525"/>
        </w:tabs>
        <w:ind w:left="525" w:hanging="435"/>
      </w:pPr>
      <w:rPr>
        <w:rFonts w:hint="default"/>
      </w:rPr>
    </w:lvl>
  </w:abstractNum>
  <w:abstractNum w:abstractNumId="11" w15:restartNumberingAfterBreak="0">
    <w:nsid w:val="5F520EAD"/>
    <w:multiLevelType w:val="singleLevel"/>
    <w:tmpl w:val="0F2A08A4"/>
    <w:lvl w:ilvl="0">
      <w:start w:val="10"/>
      <w:numFmt w:val="lowerLetter"/>
      <w:lvlText w:val="%1."/>
      <w:lvlJc w:val="left"/>
      <w:pPr>
        <w:tabs>
          <w:tab w:val="num" w:pos="540"/>
        </w:tabs>
        <w:ind w:left="540" w:hanging="360"/>
      </w:pPr>
      <w:rPr>
        <w:rFonts w:hint="default"/>
      </w:rPr>
    </w:lvl>
  </w:abstractNum>
  <w:num w:numId="1">
    <w:abstractNumId w:val="5"/>
  </w:num>
  <w:num w:numId="2">
    <w:abstractNumId w:val="2"/>
  </w:num>
  <w:num w:numId="3">
    <w:abstractNumId w:val="10"/>
  </w:num>
  <w:num w:numId="4">
    <w:abstractNumId w:val="3"/>
  </w:num>
  <w:num w:numId="5">
    <w:abstractNumId w:val="11"/>
  </w:num>
  <w:num w:numId="6">
    <w:abstractNumId w:val="1"/>
  </w:num>
  <w:num w:numId="7">
    <w:abstractNumId w:val="0"/>
  </w:num>
  <w:num w:numId="8">
    <w:abstractNumId w:val="6"/>
  </w:num>
  <w:num w:numId="9">
    <w:abstractNumId w:val="7"/>
  </w:num>
  <w:num w:numId="10">
    <w:abstractNumId w:val="9"/>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34"/>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FF"/>
    <w:rsid w:val="0001153E"/>
    <w:rsid w:val="00020DDD"/>
    <w:rsid w:val="00025F38"/>
    <w:rsid w:val="00032AFD"/>
    <w:rsid w:val="00032EC5"/>
    <w:rsid w:val="00040C28"/>
    <w:rsid w:val="00040D73"/>
    <w:rsid w:val="0004292A"/>
    <w:rsid w:val="00042E3D"/>
    <w:rsid w:val="00056D7A"/>
    <w:rsid w:val="00060D90"/>
    <w:rsid w:val="00070A6E"/>
    <w:rsid w:val="00075669"/>
    <w:rsid w:val="000805DB"/>
    <w:rsid w:val="000913EF"/>
    <w:rsid w:val="0009687A"/>
    <w:rsid w:val="00096F6F"/>
    <w:rsid w:val="00097085"/>
    <w:rsid w:val="000A5D06"/>
    <w:rsid w:val="000B1078"/>
    <w:rsid w:val="000B1515"/>
    <w:rsid w:val="000B4812"/>
    <w:rsid w:val="000B57D7"/>
    <w:rsid w:val="000D215F"/>
    <w:rsid w:val="000D31E6"/>
    <w:rsid w:val="000D75A7"/>
    <w:rsid w:val="000E6DF9"/>
    <w:rsid w:val="000E70AD"/>
    <w:rsid w:val="000F2B61"/>
    <w:rsid w:val="000F51AD"/>
    <w:rsid w:val="001052B3"/>
    <w:rsid w:val="00105B20"/>
    <w:rsid w:val="00122B6D"/>
    <w:rsid w:val="0012636D"/>
    <w:rsid w:val="00134A53"/>
    <w:rsid w:val="001353C1"/>
    <w:rsid w:val="001364D1"/>
    <w:rsid w:val="00141F7A"/>
    <w:rsid w:val="00143A26"/>
    <w:rsid w:val="001513E8"/>
    <w:rsid w:val="00156251"/>
    <w:rsid w:val="00156CC1"/>
    <w:rsid w:val="0016053D"/>
    <w:rsid w:val="00162EA7"/>
    <w:rsid w:val="00165989"/>
    <w:rsid w:val="001677E1"/>
    <w:rsid w:val="00174F5A"/>
    <w:rsid w:val="00177B37"/>
    <w:rsid w:val="001921F0"/>
    <w:rsid w:val="00194EFB"/>
    <w:rsid w:val="001A6632"/>
    <w:rsid w:val="001B5406"/>
    <w:rsid w:val="001B66C4"/>
    <w:rsid w:val="001C4E71"/>
    <w:rsid w:val="001D7BB5"/>
    <w:rsid w:val="001E02DC"/>
    <w:rsid w:val="001F0485"/>
    <w:rsid w:val="001F79B6"/>
    <w:rsid w:val="00226EBA"/>
    <w:rsid w:val="00233F73"/>
    <w:rsid w:val="002353A6"/>
    <w:rsid w:val="002421CC"/>
    <w:rsid w:val="002653E2"/>
    <w:rsid w:val="00266511"/>
    <w:rsid w:val="002933A7"/>
    <w:rsid w:val="002A6FB7"/>
    <w:rsid w:val="002C6D0B"/>
    <w:rsid w:val="002D7D53"/>
    <w:rsid w:val="002E5524"/>
    <w:rsid w:val="002F2DDD"/>
    <w:rsid w:val="002F7E1D"/>
    <w:rsid w:val="003152F3"/>
    <w:rsid w:val="00320EC1"/>
    <w:rsid w:val="0033133E"/>
    <w:rsid w:val="0033305A"/>
    <w:rsid w:val="00333BBB"/>
    <w:rsid w:val="003606D0"/>
    <w:rsid w:val="00360F0C"/>
    <w:rsid w:val="003824C5"/>
    <w:rsid w:val="00383294"/>
    <w:rsid w:val="00390050"/>
    <w:rsid w:val="00391509"/>
    <w:rsid w:val="00395A97"/>
    <w:rsid w:val="003A6123"/>
    <w:rsid w:val="003B1D5A"/>
    <w:rsid w:val="003B4227"/>
    <w:rsid w:val="003D593B"/>
    <w:rsid w:val="003E1BB2"/>
    <w:rsid w:val="003F2E3B"/>
    <w:rsid w:val="003F565D"/>
    <w:rsid w:val="00402918"/>
    <w:rsid w:val="00404A6D"/>
    <w:rsid w:val="004128F1"/>
    <w:rsid w:val="004167C6"/>
    <w:rsid w:val="00423A8C"/>
    <w:rsid w:val="00427659"/>
    <w:rsid w:val="004358D4"/>
    <w:rsid w:val="004450FD"/>
    <w:rsid w:val="00445A30"/>
    <w:rsid w:val="004700F1"/>
    <w:rsid w:val="004700F2"/>
    <w:rsid w:val="00475B67"/>
    <w:rsid w:val="00475E44"/>
    <w:rsid w:val="00490429"/>
    <w:rsid w:val="00491FE3"/>
    <w:rsid w:val="004922EB"/>
    <w:rsid w:val="00497887"/>
    <w:rsid w:val="004A5969"/>
    <w:rsid w:val="004A78D5"/>
    <w:rsid w:val="004B2633"/>
    <w:rsid w:val="004C465A"/>
    <w:rsid w:val="004D4E02"/>
    <w:rsid w:val="004F13A3"/>
    <w:rsid w:val="004F6ABA"/>
    <w:rsid w:val="0050114A"/>
    <w:rsid w:val="0050655D"/>
    <w:rsid w:val="0051334B"/>
    <w:rsid w:val="0052112F"/>
    <w:rsid w:val="00526AB4"/>
    <w:rsid w:val="005563B8"/>
    <w:rsid w:val="00556EBD"/>
    <w:rsid w:val="00560E9E"/>
    <w:rsid w:val="00565B27"/>
    <w:rsid w:val="005807C9"/>
    <w:rsid w:val="005859C4"/>
    <w:rsid w:val="005948D5"/>
    <w:rsid w:val="005A2559"/>
    <w:rsid w:val="005A3311"/>
    <w:rsid w:val="005D6901"/>
    <w:rsid w:val="005F1772"/>
    <w:rsid w:val="005F3847"/>
    <w:rsid w:val="00610D69"/>
    <w:rsid w:val="00624D2B"/>
    <w:rsid w:val="00680A0C"/>
    <w:rsid w:val="006839FA"/>
    <w:rsid w:val="006A7D46"/>
    <w:rsid w:val="006B117C"/>
    <w:rsid w:val="006B6E96"/>
    <w:rsid w:val="006D3B01"/>
    <w:rsid w:val="006F1301"/>
    <w:rsid w:val="006F3033"/>
    <w:rsid w:val="007003B8"/>
    <w:rsid w:val="00710C38"/>
    <w:rsid w:val="0071697A"/>
    <w:rsid w:val="00722016"/>
    <w:rsid w:val="007267F9"/>
    <w:rsid w:val="00733B98"/>
    <w:rsid w:val="00734CFF"/>
    <w:rsid w:val="00745F2C"/>
    <w:rsid w:val="00757166"/>
    <w:rsid w:val="0077258D"/>
    <w:rsid w:val="0077359F"/>
    <w:rsid w:val="00773877"/>
    <w:rsid w:val="00775CED"/>
    <w:rsid w:val="00782EBD"/>
    <w:rsid w:val="00786C3C"/>
    <w:rsid w:val="00787DF9"/>
    <w:rsid w:val="00792968"/>
    <w:rsid w:val="007944DC"/>
    <w:rsid w:val="007A4B55"/>
    <w:rsid w:val="007B0404"/>
    <w:rsid w:val="007B0659"/>
    <w:rsid w:val="007B6B29"/>
    <w:rsid w:val="007B72B9"/>
    <w:rsid w:val="007C468C"/>
    <w:rsid w:val="007C6716"/>
    <w:rsid w:val="007D04DC"/>
    <w:rsid w:val="007D444E"/>
    <w:rsid w:val="007E7AA6"/>
    <w:rsid w:val="007F0669"/>
    <w:rsid w:val="007F6C96"/>
    <w:rsid w:val="0081132B"/>
    <w:rsid w:val="00820561"/>
    <w:rsid w:val="008316D3"/>
    <w:rsid w:val="00832E9B"/>
    <w:rsid w:val="0085410A"/>
    <w:rsid w:val="008568E7"/>
    <w:rsid w:val="00856ECE"/>
    <w:rsid w:val="00870614"/>
    <w:rsid w:val="008757B7"/>
    <w:rsid w:val="0087639E"/>
    <w:rsid w:val="00882AD5"/>
    <w:rsid w:val="00893AA0"/>
    <w:rsid w:val="008954D8"/>
    <w:rsid w:val="008B3BDE"/>
    <w:rsid w:val="008C1B63"/>
    <w:rsid w:val="008C23F5"/>
    <w:rsid w:val="008F4043"/>
    <w:rsid w:val="0090314E"/>
    <w:rsid w:val="00925284"/>
    <w:rsid w:val="00927F7E"/>
    <w:rsid w:val="00927FBD"/>
    <w:rsid w:val="00940BE1"/>
    <w:rsid w:val="00941B98"/>
    <w:rsid w:val="00944EF5"/>
    <w:rsid w:val="009459A8"/>
    <w:rsid w:val="00947719"/>
    <w:rsid w:val="00953CA6"/>
    <w:rsid w:val="00957F4F"/>
    <w:rsid w:val="00974431"/>
    <w:rsid w:val="00981E25"/>
    <w:rsid w:val="00982CCA"/>
    <w:rsid w:val="00984E91"/>
    <w:rsid w:val="00992948"/>
    <w:rsid w:val="00993723"/>
    <w:rsid w:val="009B1DC6"/>
    <w:rsid w:val="009C4DAC"/>
    <w:rsid w:val="009D3777"/>
    <w:rsid w:val="009D503D"/>
    <w:rsid w:val="009D54DC"/>
    <w:rsid w:val="009E1A05"/>
    <w:rsid w:val="009F3624"/>
    <w:rsid w:val="00A10FA3"/>
    <w:rsid w:val="00A13EBD"/>
    <w:rsid w:val="00A15C64"/>
    <w:rsid w:val="00A25724"/>
    <w:rsid w:val="00A5168F"/>
    <w:rsid w:val="00A5357C"/>
    <w:rsid w:val="00A60CA9"/>
    <w:rsid w:val="00A60E1A"/>
    <w:rsid w:val="00A6538D"/>
    <w:rsid w:val="00A666D4"/>
    <w:rsid w:val="00A66C4A"/>
    <w:rsid w:val="00A72A9B"/>
    <w:rsid w:val="00A779A8"/>
    <w:rsid w:val="00A84E75"/>
    <w:rsid w:val="00A867A9"/>
    <w:rsid w:val="00A87FE7"/>
    <w:rsid w:val="00AA5A76"/>
    <w:rsid w:val="00AB32F5"/>
    <w:rsid w:val="00AD5992"/>
    <w:rsid w:val="00AF26E3"/>
    <w:rsid w:val="00AF3CE8"/>
    <w:rsid w:val="00AF71B4"/>
    <w:rsid w:val="00B02650"/>
    <w:rsid w:val="00B22EC2"/>
    <w:rsid w:val="00B249CA"/>
    <w:rsid w:val="00B337E5"/>
    <w:rsid w:val="00B35DEC"/>
    <w:rsid w:val="00B36A71"/>
    <w:rsid w:val="00B42B93"/>
    <w:rsid w:val="00B52B69"/>
    <w:rsid w:val="00B54DC4"/>
    <w:rsid w:val="00B61544"/>
    <w:rsid w:val="00B702FF"/>
    <w:rsid w:val="00B7605E"/>
    <w:rsid w:val="00B76CBF"/>
    <w:rsid w:val="00B80309"/>
    <w:rsid w:val="00B84D3D"/>
    <w:rsid w:val="00B92237"/>
    <w:rsid w:val="00B92CC9"/>
    <w:rsid w:val="00B950B1"/>
    <w:rsid w:val="00B976CC"/>
    <w:rsid w:val="00BB3DD1"/>
    <w:rsid w:val="00BC15B7"/>
    <w:rsid w:val="00BC1D3F"/>
    <w:rsid w:val="00BC7D20"/>
    <w:rsid w:val="00BD6F70"/>
    <w:rsid w:val="00BE2C21"/>
    <w:rsid w:val="00C00DF3"/>
    <w:rsid w:val="00C04F34"/>
    <w:rsid w:val="00C10F1F"/>
    <w:rsid w:val="00C1372C"/>
    <w:rsid w:val="00C1760B"/>
    <w:rsid w:val="00C34B93"/>
    <w:rsid w:val="00C37A6B"/>
    <w:rsid w:val="00C618D2"/>
    <w:rsid w:val="00C62BEE"/>
    <w:rsid w:val="00C63268"/>
    <w:rsid w:val="00C755F0"/>
    <w:rsid w:val="00C85F32"/>
    <w:rsid w:val="00C9134B"/>
    <w:rsid w:val="00C915FE"/>
    <w:rsid w:val="00C91787"/>
    <w:rsid w:val="00CA1A00"/>
    <w:rsid w:val="00CA614C"/>
    <w:rsid w:val="00CB1C1D"/>
    <w:rsid w:val="00CB4AE3"/>
    <w:rsid w:val="00CC100E"/>
    <w:rsid w:val="00CC484F"/>
    <w:rsid w:val="00CC733F"/>
    <w:rsid w:val="00CE4C39"/>
    <w:rsid w:val="00CE6D1A"/>
    <w:rsid w:val="00CE777D"/>
    <w:rsid w:val="00CF2BD9"/>
    <w:rsid w:val="00CF7273"/>
    <w:rsid w:val="00D07D32"/>
    <w:rsid w:val="00D127AB"/>
    <w:rsid w:val="00D24E7D"/>
    <w:rsid w:val="00D27559"/>
    <w:rsid w:val="00D27CB9"/>
    <w:rsid w:val="00D319CB"/>
    <w:rsid w:val="00D32A87"/>
    <w:rsid w:val="00D357BC"/>
    <w:rsid w:val="00D42FB8"/>
    <w:rsid w:val="00D4529B"/>
    <w:rsid w:val="00D4715E"/>
    <w:rsid w:val="00D47ED2"/>
    <w:rsid w:val="00D520B5"/>
    <w:rsid w:val="00D56087"/>
    <w:rsid w:val="00D60376"/>
    <w:rsid w:val="00D636CC"/>
    <w:rsid w:val="00D723FF"/>
    <w:rsid w:val="00D87ADD"/>
    <w:rsid w:val="00D96E6F"/>
    <w:rsid w:val="00D974A3"/>
    <w:rsid w:val="00DB07D9"/>
    <w:rsid w:val="00DB4E81"/>
    <w:rsid w:val="00DB55C3"/>
    <w:rsid w:val="00DB7CFE"/>
    <w:rsid w:val="00DC3577"/>
    <w:rsid w:val="00DC54F5"/>
    <w:rsid w:val="00DE0871"/>
    <w:rsid w:val="00DE5B74"/>
    <w:rsid w:val="00DE71A1"/>
    <w:rsid w:val="00DF087D"/>
    <w:rsid w:val="00E23845"/>
    <w:rsid w:val="00E316E3"/>
    <w:rsid w:val="00E31AE4"/>
    <w:rsid w:val="00E53560"/>
    <w:rsid w:val="00E54832"/>
    <w:rsid w:val="00E54C28"/>
    <w:rsid w:val="00E60E8D"/>
    <w:rsid w:val="00E63820"/>
    <w:rsid w:val="00E640DD"/>
    <w:rsid w:val="00E658F9"/>
    <w:rsid w:val="00E7518C"/>
    <w:rsid w:val="00E75CE8"/>
    <w:rsid w:val="00E8559E"/>
    <w:rsid w:val="00E87125"/>
    <w:rsid w:val="00E87B6C"/>
    <w:rsid w:val="00E93942"/>
    <w:rsid w:val="00E93988"/>
    <w:rsid w:val="00EA66F4"/>
    <w:rsid w:val="00EB0E58"/>
    <w:rsid w:val="00EB58D7"/>
    <w:rsid w:val="00EB5C7C"/>
    <w:rsid w:val="00EC024E"/>
    <w:rsid w:val="00EE10EB"/>
    <w:rsid w:val="00F020B3"/>
    <w:rsid w:val="00F05641"/>
    <w:rsid w:val="00F2233F"/>
    <w:rsid w:val="00F22C02"/>
    <w:rsid w:val="00F34248"/>
    <w:rsid w:val="00F377B9"/>
    <w:rsid w:val="00F45D96"/>
    <w:rsid w:val="00F665D8"/>
    <w:rsid w:val="00F71F01"/>
    <w:rsid w:val="00F830E9"/>
    <w:rsid w:val="00F9485E"/>
    <w:rsid w:val="00FA2439"/>
    <w:rsid w:val="00FB2C18"/>
    <w:rsid w:val="00FC2AB3"/>
    <w:rsid w:val="00FE5AD1"/>
    <w:rsid w:val="00FE5DF4"/>
    <w:rsid w:val="00FE5FA4"/>
    <w:rsid w:val="00FF3F37"/>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6C0290A-E5A2-4518-9514-1D69DB08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7B7"/>
    <w:rPr>
      <w:rFonts w:ascii="Courier" w:hAnsi="Courier"/>
    </w:rPr>
  </w:style>
  <w:style w:type="paragraph" w:styleId="Heading1">
    <w:name w:val="heading 1"/>
    <w:basedOn w:val="Normal"/>
    <w:next w:val="Normal"/>
    <w:qFormat/>
    <w:rsid w:val="008757B7"/>
    <w:pPr>
      <w:keepNext/>
      <w:tabs>
        <w:tab w:val="center" w:pos="5587"/>
      </w:tabs>
      <w:suppressAutoHyphens/>
      <w:jc w:val="right"/>
      <w:outlineLvl w:val="0"/>
    </w:pPr>
    <w:rPr>
      <w:rFonts w:ascii="Britannic Bold" w:hAnsi="Britannic Bold"/>
      <w:b/>
      <w:sz w:val="44"/>
    </w:rPr>
  </w:style>
  <w:style w:type="paragraph" w:styleId="Heading2">
    <w:name w:val="heading 2"/>
    <w:basedOn w:val="Normal"/>
    <w:next w:val="Normal"/>
    <w:qFormat/>
    <w:rsid w:val="008757B7"/>
    <w:pPr>
      <w:keepNext/>
      <w:pBdr>
        <w:top w:val="single" w:sz="6" w:space="1" w:color="auto"/>
        <w:bottom w:val="single" w:sz="6" w:space="1" w:color="auto"/>
      </w:pBdr>
      <w:shd w:val="pct20" w:color="auto" w:fill="auto"/>
      <w:tabs>
        <w:tab w:val="left" w:pos="4590"/>
        <w:tab w:val="left" w:pos="7020"/>
        <w:tab w:val="left" w:pos="9720"/>
        <w:tab w:val="left" w:pos="11070"/>
      </w:tabs>
      <w:ind w:left="300"/>
      <w:outlineLvl w:val="1"/>
    </w:pPr>
    <w:rPr>
      <w:rFonts w:ascii="Arial" w:hAnsi="Arial"/>
      <w:b/>
      <w:color w:val="000000"/>
      <w:sz w:val="22"/>
    </w:rPr>
  </w:style>
  <w:style w:type="paragraph" w:styleId="Heading3">
    <w:name w:val="heading 3"/>
    <w:basedOn w:val="Normal"/>
    <w:next w:val="Normal"/>
    <w:qFormat/>
    <w:rsid w:val="008757B7"/>
    <w:pPr>
      <w:keepNext/>
      <w:pBdr>
        <w:top w:val="single" w:sz="6" w:space="1" w:color="auto"/>
        <w:bottom w:val="single" w:sz="6" w:space="1" w:color="auto"/>
      </w:pBdr>
      <w:shd w:val="pct20" w:color="auto" w:fill="auto"/>
      <w:tabs>
        <w:tab w:val="left" w:pos="4590"/>
        <w:tab w:val="left" w:pos="7020"/>
        <w:tab w:val="left" w:pos="9720"/>
        <w:tab w:val="left" w:pos="11070"/>
      </w:tabs>
      <w:outlineLvl w:val="2"/>
    </w:pPr>
    <w:rPr>
      <w:rFonts w:ascii="Arial" w:hAnsi="Arial"/>
      <w:b/>
      <w:color w:val="000000"/>
    </w:rPr>
  </w:style>
  <w:style w:type="paragraph" w:styleId="Heading4">
    <w:name w:val="heading 4"/>
    <w:basedOn w:val="Normal"/>
    <w:next w:val="Normal"/>
    <w:qFormat/>
    <w:rsid w:val="008757B7"/>
    <w:pPr>
      <w:keepNext/>
      <w:tabs>
        <w:tab w:val="center" w:pos="5587"/>
      </w:tabs>
      <w:suppressAutoHyphens/>
      <w:ind w:left="1800"/>
      <w:jc w:val="center"/>
      <w:outlineLvl w:val="3"/>
    </w:pPr>
    <w:rPr>
      <w:rFonts w:ascii="Univers" w:hAnsi="Univers"/>
      <w:b/>
      <w:color w:val="00008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757B7"/>
    <w:rPr>
      <w:sz w:val="24"/>
    </w:rPr>
  </w:style>
  <w:style w:type="character" w:styleId="EndnoteReference">
    <w:name w:val="endnote reference"/>
    <w:basedOn w:val="DefaultParagraphFont"/>
    <w:semiHidden/>
    <w:rsid w:val="008757B7"/>
    <w:rPr>
      <w:vertAlign w:val="superscript"/>
    </w:rPr>
  </w:style>
  <w:style w:type="paragraph" w:styleId="FootnoteText">
    <w:name w:val="footnote text"/>
    <w:basedOn w:val="Normal"/>
    <w:semiHidden/>
    <w:rsid w:val="008757B7"/>
    <w:rPr>
      <w:sz w:val="24"/>
    </w:rPr>
  </w:style>
  <w:style w:type="character" w:styleId="FootnoteReference">
    <w:name w:val="footnote reference"/>
    <w:basedOn w:val="DefaultParagraphFont"/>
    <w:semiHidden/>
    <w:rsid w:val="008757B7"/>
    <w:rPr>
      <w:vertAlign w:val="superscript"/>
    </w:rPr>
  </w:style>
  <w:style w:type="paragraph" w:styleId="TOC1">
    <w:name w:val="toc 1"/>
    <w:basedOn w:val="Normal"/>
    <w:next w:val="Normal"/>
    <w:semiHidden/>
    <w:rsid w:val="008757B7"/>
    <w:pPr>
      <w:tabs>
        <w:tab w:val="right" w:leader="dot" w:pos="9360"/>
      </w:tabs>
      <w:suppressAutoHyphens/>
      <w:spacing w:before="480"/>
      <w:ind w:left="720" w:right="720" w:hanging="720"/>
    </w:pPr>
  </w:style>
  <w:style w:type="paragraph" w:styleId="TOC2">
    <w:name w:val="toc 2"/>
    <w:basedOn w:val="Normal"/>
    <w:next w:val="Normal"/>
    <w:semiHidden/>
    <w:rsid w:val="008757B7"/>
    <w:pPr>
      <w:tabs>
        <w:tab w:val="right" w:leader="dot" w:pos="9360"/>
      </w:tabs>
      <w:suppressAutoHyphens/>
      <w:ind w:left="1440" w:right="720" w:hanging="720"/>
    </w:pPr>
  </w:style>
  <w:style w:type="paragraph" w:styleId="TOC3">
    <w:name w:val="toc 3"/>
    <w:basedOn w:val="Normal"/>
    <w:next w:val="Normal"/>
    <w:semiHidden/>
    <w:rsid w:val="008757B7"/>
    <w:pPr>
      <w:tabs>
        <w:tab w:val="right" w:leader="dot" w:pos="9360"/>
      </w:tabs>
      <w:suppressAutoHyphens/>
      <w:ind w:left="2160" w:right="720" w:hanging="720"/>
    </w:pPr>
  </w:style>
  <w:style w:type="paragraph" w:styleId="TOC4">
    <w:name w:val="toc 4"/>
    <w:basedOn w:val="Normal"/>
    <w:next w:val="Normal"/>
    <w:semiHidden/>
    <w:rsid w:val="008757B7"/>
    <w:pPr>
      <w:tabs>
        <w:tab w:val="right" w:leader="dot" w:pos="9360"/>
      </w:tabs>
      <w:suppressAutoHyphens/>
      <w:ind w:left="2880" w:right="720" w:hanging="720"/>
    </w:pPr>
  </w:style>
  <w:style w:type="paragraph" w:styleId="TOC5">
    <w:name w:val="toc 5"/>
    <w:basedOn w:val="Normal"/>
    <w:next w:val="Normal"/>
    <w:semiHidden/>
    <w:rsid w:val="008757B7"/>
    <w:pPr>
      <w:tabs>
        <w:tab w:val="right" w:leader="dot" w:pos="9360"/>
      </w:tabs>
      <w:suppressAutoHyphens/>
      <w:ind w:left="3600" w:right="720" w:hanging="720"/>
    </w:pPr>
  </w:style>
  <w:style w:type="paragraph" w:styleId="TOC6">
    <w:name w:val="toc 6"/>
    <w:basedOn w:val="Normal"/>
    <w:next w:val="Normal"/>
    <w:semiHidden/>
    <w:rsid w:val="008757B7"/>
    <w:pPr>
      <w:tabs>
        <w:tab w:val="right" w:pos="9360"/>
      </w:tabs>
      <w:suppressAutoHyphens/>
      <w:ind w:left="720" w:hanging="720"/>
    </w:pPr>
  </w:style>
  <w:style w:type="paragraph" w:styleId="TOC7">
    <w:name w:val="toc 7"/>
    <w:basedOn w:val="Normal"/>
    <w:next w:val="Normal"/>
    <w:semiHidden/>
    <w:rsid w:val="008757B7"/>
    <w:pPr>
      <w:suppressAutoHyphens/>
      <w:ind w:left="720" w:hanging="720"/>
    </w:pPr>
  </w:style>
  <w:style w:type="paragraph" w:styleId="TOC8">
    <w:name w:val="toc 8"/>
    <w:basedOn w:val="Normal"/>
    <w:next w:val="Normal"/>
    <w:semiHidden/>
    <w:rsid w:val="008757B7"/>
    <w:pPr>
      <w:tabs>
        <w:tab w:val="right" w:pos="9360"/>
      </w:tabs>
      <w:suppressAutoHyphens/>
      <w:ind w:left="720" w:hanging="720"/>
    </w:pPr>
  </w:style>
  <w:style w:type="paragraph" w:styleId="TOC9">
    <w:name w:val="toc 9"/>
    <w:basedOn w:val="Normal"/>
    <w:next w:val="Normal"/>
    <w:semiHidden/>
    <w:rsid w:val="008757B7"/>
    <w:pPr>
      <w:tabs>
        <w:tab w:val="right" w:leader="dot" w:pos="9360"/>
      </w:tabs>
      <w:suppressAutoHyphens/>
      <w:ind w:left="720" w:hanging="720"/>
    </w:pPr>
  </w:style>
  <w:style w:type="paragraph" w:styleId="Index1">
    <w:name w:val="index 1"/>
    <w:basedOn w:val="Normal"/>
    <w:next w:val="Normal"/>
    <w:semiHidden/>
    <w:rsid w:val="008757B7"/>
    <w:pPr>
      <w:tabs>
        <w:tab w:val="right" w:leader="dot" w:pos="9360"/>
      </w:tabs>
      <w:suppressAutoHyphens/>
      <w:ind w:left="1440" w:right="720" w:hanging="1440"/>
    </w:pPr>
  </w:style>
  <w:style w:type="paragraph" w:styleId="Index2">
    <w:name w:val="index 2"/>
    <w:basedOn w:val="Normal"/>
    <w:next w:val="Normal"/>
    <w:semiHidden/>
    <w:rsid w:val="008757B7"/>
    <w:pPr>
      <w:tabs>
        <w:tab w:val="right" w:leader="dot" w:pos="9360"/>
      </w:tabs>
      <w:suppressAutoHyphens/>
      <w:ind w:left="1440" w:right="720" w:hanging="720"/>
    </w:pPr>
  </w:style>
  <w:style w:type="paragraph" w:styleId="TOAHeading">
    <w:name w:val="toa heading"/>
    <w:basedOn w:val="Normal"/>
    <w:next w:val="Normal"/>
    <w:semiHidden/>
    <w:rsid w:val="008757B7"/>
    <w:pPr>
      <w:tabs>
        <w:tab w:val="right" w:pos="9360"/>
      </w:tabs>
      <w:suppressAutoHyphens/>
    </w:pPr>
  </w:style>
  <w:style w:type="paragraph" w:styleId="Caption">
    <w:name w:val="caption"/>
    <w:basedOn w:val="Normal"/>
    <w:next w:val="Normal"/>
    <w:qFormat/>
    <w:rsid w:val="008757B7"/>
    <w:rPr>
      <w:sz w:val="24"/>
    </w:rPr>
  </w:style>
  <w:style w:type="character" w:customStyle="1" w:styleId="EquationCaption">
    <w:name w:val="_Equation Caption"/>
    <w:rsid w:val="008757B7"/>
  </w:style>
  <w:style w:type="paragraph" w:styleId="BodyTextIndent">
    <w:name w:val="Body Text Indent"/>
    <w:basedOn w:val="Normal"/>
    <w:rsid w:val="008757B7"/>
    <w:pPr>
      <w:tabs>
        <w:tab w:val="left" w:pos="-533"/>
        <w:tab w:val="left" w:pos="187"/>
        <w:tab w:val="left" w:pos="450"/>
        <w:tab w:val="left" w:pos="5083"/>
        <w:tab w:val="left" w:pos="7099"/>
        <w:tab w:val="left" w:pos="8251"/>
        <w:tab w:val="left" w:pos="9691"/>
      </w:tabs>
      <w:suppressAutoHyphens/>
      <w:ind w:left="450" w:hanging="450"/>
    </w:pPr>
    <w:rPr>
      <w:rFonts w:ascii="Univers" w:hAnsi="Univers"/>
      <w:sz w:val="16"/>
    </w:rPr>
  </w:style>
  <w:style w:type="paragraph" w:styleId="BodyText">
    <w:name w:val="Body Text"/>
    <w:basedOn w:val="Normal"/>
    <w:rsid w:val="008757B7"/>
    <w:pPr>
      <w:pBdr>
        <w:top w:val="single" w:sz="4" w:space="1" w:color="auto"/>
        <w:left w:val="single" w:sz="4" w:space="4" w:color="auto"/>
        <w:bottom w:val="single" w:sz="4" w:space="1" w:color="auto"/>
        <w:right w:val="single" w:sz="4" w:space="4" w:color="auto"/>
      </w:pBdr>
      <w:tabs>
        <w:tab w:val="left" w:pos="-533"/>
        <w:tab w:val="left" w:pos="360"/>
        <w:tab w:val="left" w:pos="450"/>
        <w:tab w:val="left" w:pos="7099"/>
        <w:tab w:val="left" w:pos="8251"/>
        <w:tab w:val="left" w:pos="9691"/>
      </w:tabs>
      <w:suppressAutoHyphens/>
      <w:ind w:right="97"/>
    </w:pPr>
    <w:rPr>
      <w:rFonts w:ascii="Arial" w:hAnsi="Arial"/>
      <w:i/>
      <w:snapToGrid w:val="0"/>
      <w:sz w:val="16"/>
    </w:rPr>
  </w:style>
  <w:style w:type="paragraph" w:styleId="BodyTextIndent2">
    <w:name w:val="Body Text Indent 2"/>
    <w:basedOn w:val="Normal"/>
    <w:rsid w:val="008757B7"/>
    <w:pPr>
      <w:pBdr>
        <w:top w:val="single" w:sz="4" w:space="1" w:color="auto"/>
        <w:left w:val="single" w:sz="4" w:space="4" w:color="auto"/>
        <w:bottom w:val="single" w:sz="4" w:space="1" w:color="auto"/>
        <w:right w:val="single" w:sz="4" w:space="4" w:color="auto"/>
      </w:pBdr>
      <w:tabs>
        <w:tab w:val="left" w:pos="4590"/>
        <w:tab w:val="left" w:pos="7020"/>
        <w:tab w:val="left" w:pos="9720"/>
        <w:tab w:val="left" w:pos="11101"/>
      </w:tabs>
      <w:ind w:left="300"/>
    </w:pPr>
    <w:rPr>
      <w:rFonts w:ascii="Arial" w:hAnsi="Arial"/>
      <w:i/>
      <w:snapToGrid w:val="0"/>
      <w:color w:val="800000"/>
    </w:rPr>
  </w:style>
  <w:style w:type="paragraph" w:styleId="BalloonText">
    <w:name w:val="Balloon Text"/>
    <w:basedOn w:val="Normal"/>
    <w:semiHidden/>
    <w:rsid w:val="00BC1D3F"/>
    <w:rPr>
      <w:rFonts w:ascii="Tahoma" w:hAnsi="Tahoma" w:cs="Tahoma"/>
      <w:sz w:val="16"/>
      <w:szCs w:val="16"/>
    </w:rPr>
  </w:style>
  <w:style w:type="character" w:styleId="CommentReference">
    <w:name w:val="annotation reference"/>
    <w:basedOn w:val="DefaultParagraphFont"/>
    <w:semiHidden/>
    <w:rsid w:val="00156CC1"/>
    <w:rPr>
      <w:sz w:val="16"/>
      <w:szCs w:val="16"/>
    </w:rPr>
  </w:style>
  <w:style w:type="paragraph" w:styleId="CommentText">
    <w:name w:val="annotation text"/>
    <w:basedOn w:val="Normal"/>
    <w:semiHidden/>
    <w:rsid w:val="00156CC1"/>
  </w:style>
  <w:style w:type="paragraph" w:styleId="CommentSubject">
    <w:name w:val="annotation subject"/>
    <w:basedOn w:val="CommentText"/>
    <w:next w:val="CommentText"/>
    <w:semiHidden/>
    <w:rsid w:val="00156CC1"/>
    <w:rPr>
      <w:b/>
      <w:bCs/>
    </w:rPr>
  </w:style>
  <w:style w:type="paragraph" w:customStyle="1" w:styleId="Default">
    <w:name w:val="Default"/>
    <w:rsid w:val="007B72B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2112F"/>
    <w:rPr>
      <w:rFonts w:ascii="Courier" w:hAnsi="Courier"/>
    </w:rPr>
  </w:style>
  <w:style w:type="paragraph" w:styleId="ListParagraph">
    <w:name w:val="List Paragraph"/>
    <w:basedOn w:val="Normal"/>
    <w:uiPriority w:val="34"/>
    <w:qFormat/>
    <w:rsid w:val="00D60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00CE-6451-4712-8324-F74F4A331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Gainesville Regional Utilities</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B. Bauldree</dc:creator>
  <cp:lastModifiedBy>Shatto, Brandi L</cp:lastModifiedBy>
  <cp:revision>6</cp:revision>
  <cp:lastPrinted>2021-08-30T15:08:00Z</cp:lastPrinted>
  <dcterms:created xsi:type="dcterms:W3CDTF">2021-08-30T15:13:00Z</dcterms:created>
  <dcterms:modified xsi:type="dcterms:W3CDTF">2021-09-23T15:10:00Z</dcterms:modified>
</cp:coreProperties>
</file>